
<file path=[Content_Types].xml><?xml version="1.0" encoding="utf-8"?>
<Types xmlns="http://schemas.openxmlformats.org/package/2006/content-types">
  <Override PartName="/word/footnotes.xml" ContentType="application/vnd.openxmlformats-officedocument.wordprocessingml.footnotes+xml"/>
  <Override PartName="/word/charts/chart10.xml" ContentType="application/vnd.openxmlformats-officedocument.drawingml.chart+xml"/>
  <Override PartName="/customXml/itemProps1.xml" ContentType="application/vnd.openxmlformats-officedocument.customXmlProperties+xml"/>
  <Override PartName="/word/theme/themeOverride2.xml" ContentType="application/vnd.openxmlformats-officedocument.themeOverride+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64B0" w:rsidRPr="00E10760" w:rsidRDefault="00C664B0" w:rsidP="00C664B0">
      <w:pPr>
        <w:pStyle w:val="21"/>
        <w:spacing w:after="0"/>
        <w:ind w:left="0" w:right="533"/>
        <w:jc w:val="center"/>
        <w:rPr>
          <w:b/>
          <w:bCs/>
          <w:sz w:val="28"/>
          <w:szCs w:val="28"/>
        </w:rPr>
      </w:pPr>
      <w:r w:rsidRPr="00E10760">
        <w:rPr>
          <w:b/>
          <w:bCs/>
          <w:sz w:val="28"/>
          <w:szCs w:val="28"/>
        </w:rPr>
        <w:t xml:space="preserve">Пояснювальна записка </w:t>
      </w:r>
    </w:p>
    <w:p w:rsidR="00C664B0" w:rsidRPr="00E10760" w:rsidRDefault="00C664B0" w:rsidP="00C664B0">
      <w:pPr>
        <w:pStyle w:val="21"/>
        <w:spacing w:after="0"/>
        <w:ind w:left="0" w:right="533"/>
        <w:jc w:val="center"/>
        <w:rPr>
          <w:b/>
          <w:bCs/>
          <w:sz w:val="28"/>
          <w:szCs w:val="28"/>
        </w:rPr>
      </w:pPr>
      <w:r w:rsidRPr="00E10760">
        <w:rPr>
          <w:b/>
          <w:bCs/>
          <w:sz w:val="28"/>
          <w:szCs w:val="28"/>
        </w:rPr>
        <w:t xml:space="preserve">до проєкту рішення Олевської міської ради </w:t>
      </w:r>
    </w:p>
    <w:p w:rsidR="00C664B0" w:rsidRPr="00E10760" w:rsidRDefault="00C664B0" w:rsidP="00C664B0">
      <w:pPr>
        <w:pStyle w:val="21"/>
        <w:spacing w:after="0"/>
        <w:ind w:left="0" w:right="533"/>
        <w:jc w:val="center"/>
        <w:rPr>
          <w:b/>
          <w:bCs/>
          <w:sz w:val="28"/>
          <w:szCs w:val="28"/>
          <w:lang w:val="ru-RU"/>
        </w:rPr>
      </w:pPr>
      <w:r w:rsidRPr="00E10760">
        <w:rPr>
          <w:b/>
          <w:bCs/>
          <w:sz w:val="28"/>
          <w:szCs w:val="28"/>
        </w:rPr>
        <w:t>"Про бюджет Олевської міської  територіальної громади на 202</w:t>
      </w:r>
      <w:r w:rsidRPr="00E10760">
        <w:rPr>
          <w:b/>
          <w:bCs/>
          <w:sz w:val="28"/>
          <w:szCs w:val="28"/>
          <w:lang w:val="ru-RU"/>
        </w:rPr>
        <w:t>2</w:t>
      </w:r>
    </w:p>
    <w:p w:rsidR="00C664B0" w:rsidRPr="00E10760" w:rsidRDefault="00C664B0" w:rsidP="00C664B0">
      <w:pPr>
        <w:pStyle w:val="21"/>
        <w:spacing w:after="0"/>
        <w:ind w:left="0" w:right="533"/>
        <w:jc w:val="center"/>
        <w:rPr>
          <w:b/>
          <w:bCs/>
          <w:sz w:val="28"/>
          <w:szCs w:val="28"/>
        </w:rPr>
      </w:pPr>
      <w:r w:rsidRPr="00E10760">
        <w:rPr>
          <w:b/>
          <w:bCs/>
          <w:sz w:val="28"/>
          <w:szCs w:val="28"/>
        </w:rPr>
        <w:t>рік"</w:t>
      </w:r>
    </w:p>
    <w:p w:rsidR="00C664B0" w:rsidRPr="00E10760" w:rsidRDefault="00C664B0" w:rsidP="00394019">
      <w:pPr>
        <w:pStyle w:val="21"/>
        <w:spacing w:after="0"/>
        <w:ind w:left="0" w:right="533" w:firstLine="567"/>
        <w:jc w:val="center"/>
        <w:rPr>
          <w:b/>
          <w:bCs/>
          <w:sz w:val="28"/>
          <w:szCs w:val="28"/>
        </w:rPr>
      </w:pPr>
    </w:p>
    <w:p w:rsidR="00A8190B" w:rsidRPr="00CD2CA8" w:rsidRDefault="00A8190B" w:rsidP="00A8190B">
      <w:pPr>
        <w:pStyle w:val="21"/>
        <w:spacing w:after="0"/>
        <w:ind w:left="539" w:right="533" w:firstLine="567"/>
        <w:jc w:val="center"/>
        <w:rPr>
          <w:b/>
          <w:bCs/>
          <w:sz w:val="28"/>
          <w:szCs w:val="28"/>
          <w:lang w:val="ru-RU"/>
        </w:rPr>
      </w:pPr>
      <w:r>
        <w:rPr>
          <w:b/>
          <w:bCs/>
          <w:sz w:val="28"/>
          <w:szCs w:val="28"/>
          <w:lang w:val="ru-RU"/>
        </w:rPr>
        <w:t>О</w:t>
      </w:r>
      <w:r w:rsidRPr="00CD2CA8">
        <w:rPr>
          <w:b/>
          <w:bCs/>
          <w:sz w:val="28"/>
          <w:szCs w:val="28"/>
        </w:rPr>
        <w:t>ЦІНКА ДОХОДІВ МІСЬКОГО БЮДЖЕТУ НА 202</w:t>
      </w:r>
      <w:r w:rsidRPr="00CD2CA8">
        <w:rPr>
          <w:b/>
          <w:bCs/>
          <w:sz w:val="28"/>
          <w:szCs w:val="28"/>
          <w:lang w:val="ru-RU"/>
        </w:rPr>
        <w:t>2</w:t>
      </w:r>
      <w:r w:rsidRPr="00CD2CA8">
        <w:rPr>
          <w:b/>
          <w:bCs/>
          <w:sz w:val="28"/>
          <w:szCs w:val="28"/>
        </w:rPr>
        <w:t>РІК</w:t>
      </w:r>
    </w:p>
    <w:p w:rsidR="00A8190B" w:rsidRPr="0063159D" w:rsidRDefault="00A8190B" w:rsidP="00A8190B">
      <w:pPr>
        <w:tabs>
          <w:tab w:val="left" w:pos="1701"/>
        </w:tabs>
        <w:ind w:firstLine="567"/>
        <w:jc w:val="both"/>
        <w:rPr>
          <w:sz w:val="28"/>
          <w:szCs w:val="28"/>
        </w:rPr>
      </w:pPr>
    </w:p>
    <w:p w:rsidR="00A8190B" w:rsidRPr="00CD2CA8" w:rsidRDefault="00A8190B" w:rsidP="00A8190B">
      <w:pPr>
        <w:tabs>
          <w:tab w:val="left" w:pos="1701"/>
        </w:tabs>
        <w:ind w:firstLine="567"/>
        <w:jc w:val="both"/>
        <w:rPr>
          <w:sz w:val="28"/>
          <w:szCs w:val="28"/>
          <w:lang w:val="uk-UA"/>
        </w:rPr>
      </w:pPr>
      <w:r w:rsidRPr="00CD2CA8">
        <w:rPr>
          <w:sz w:val="28"/>
          <w:szCs w:val="28"/>
          <w:lang w:val="uk-UA"/>
        </w:rPr>
        <w:t xml:space="preserve">Показники доходної частини проєкту бюджету на 2022 рік розроблені на базі основних прогнозних макропоказників економічного і соціального розвитку України із застосуванням норм чинних Бюджетного та Податкового кодексів України. </w:t>
      </w:r>
    </w:p>
    <w:p w:rsidR="00A8190B" w:rsidRPr="00CD2CA8" w:rsidRDefault="00A8190B" w:rsidP="00A8190B">
      <w:pPr>
        <w:ind w:firstLine="567"/>
        <w:jc w:val="both"/>
        <w:rPr>
          <w:sz w:val="28"/>
          <w:szCs w:val="28"/>
          <w:lang w:val="uk-UA"/>
        </w:rPr>
      </w:pPr>
      <w:r w:rsidRPr="00CD2CA8">
        <w:rPr>
          <w:sz w:val="28"/>
          <w:szCs w:val="28"/>
          <w:lang w:val="uk-UA"/>
        </w:rPr>
        <w:t>В цілому, показник власних доходів міського бюджету на 2022 рік  (без урахування міжбюджетних</w:t>
      </w:r>
      <w:r>
        <w:rPr>
          <w:sz w:val="28"/>
          <w:szCs w:val="28"/>
          <w:lang w:val="uk-UA"/>
        </w:rPr>
        <w:t xml:space="preserve"> трансфертів) обраховано в сумі </w:t>
      </w:r>
      <w:r>
        <w:rPr>
          <w:sz w:val="28"/>
          <w:szCs w:val="28"/>
          <w:shd w:val="clear" w:color="auto" w:fill="FFFFFF" w:themeFill="background1"/>
          <w:lang w:val="uk-UA"/>
        </w:rPr>
        <w:t>152332,1</w:t>
      </w:r>
      <w:r w:rsidRPr="00CD2CA8">
        <w:rPr>
          <w:sz w:val="28"/>
          <w:szCs w:val="28"/>
          <w:lang w:val="uk-UA"/>
        </w:rPr>
        <w:t>тис.грн, у тому числі:</w:t>
      </w:r>
    </w:p>
    <w:p w:rsidR="00A8190B" w:rsidRPr="00CD2CA8" w:rsidRDefault="00A8190B" w:rsidP="00A8190B">
      <w:pPr>
        <w:ind w:firstLine="567"/>
        <w:jc w:val="both"/>
        <w:rPr>
          <w:sz w:val="28"/>
          <w:szCs w:val="28"/>
          <w:lang w:val="uk-UA"/>
        </w:rPr>
      </w:pPr>
      <w:r w:rsidRPr="00CD2CA8">
        <w:rPr>
          <w:sz w:val="28"/>
          <w:szCs w:val="28"/>
          <w:lang w:val="uk-UA"/>
        </w:rPr>
        <w:t xml:space="preserve">загальний фонд      </w:t>
      </w:r>
      <w:r>
        <w:rPr>
          <w:sz w:val="28"/>
          <w:szCs w:val="28"/>
          <w:lang w:val="uk-UA"/>
        </w:rPr>
        <w:t>- 149255,0</w:t>
      </w:r>
      <w:r w:rsidRPr="00CD2CA8">
        <w:rPr>
          <w:sz w:val="28"/>
          <w:szCs w:val="28"/>
          <w:lang w:val="uk-UA"/>
        </w:rPr>
        <w:t>тис.грн.</w:t>
      </w:r>
    </w:p>
    <w:p w:rsidR="00A8190B" w:rsidRPr="00CD2CA8" w:rsidRDefault="00A8190B" w:rsidP="00A8190B">
      <w:pPr>
        <w:ind w:firstLine="567"/>
        <w:jc w:val="both"/>
        <w:rPr>
          <w:sz w:val="28"/>
          <w:szCs w:val="28"/>
          <w:lang w:val="uk-UA"/>
        </w:rPr>
      </w:pPr>
      <w:r w:rsidRPr="00CD2CA8">
        <w:rPr>
          <w:sz w:val="28"/>
          <w:szCs w:val="28"/>
          <w:lang w:val="uk-UA"/>
        </w:rPr>
        <w:t xml:space="preserve">спеціальний фонд  -     </w:t>
      </w:r>
      <w:r>
        <w:rPr>
          <w:sz w:val="28"/>
          <w:szCs w:val="28"/>
          <w:lang w:val="uk-UA"/>
        </w:rPr>
        <w:t>3077,1</w:t>
      </w:r>
      <w:r w:rsidRPr="00CD2CA8">
        <w:rPr>
          <w:sz w:val="28"/>
          <w:szCs w:val="28"/>
          <w:lang w:val="uk-UA"/>
        </w:rPr>
        <w:t>тис.грн.</w:t>
      </w:r>
    </w:p>
    <w:p w:rsidR="00A8190B" w:rsidRPr="00CD2CA8" w:rsidRDefault="00A8190B" w:rsidP="00A8190B">
      <w:pPr>
        <w:ind w:firstLine="567"/>
        <w:jc w:val="center"/>
        <w:rPr>
          <w:sz w:val="28"/>
          <w:szCs w:val="28"/>
          <w:lang w:val="uk-UA"/>
        </w:rPr>
      </w:pPr>
      <w:r w:rsidRPr="00CD2CA8">
        <w:rPr>
          <w:sz w:val="28"/>
          <w:szCs w:val="28"/>
          <w:lang w:val="uk-UA"/>
        </w:rPr>
        <w:t>Динаміка надходжень до бюджету Олевської міської територіальної громади</w:t>
      </w:r>
    </w:p>
    <w:p w:rsidR="00A8190B" w:rsidRPr="00CD2CA8" w:rsidRDefault="00A8190B" w:rsidP="00A8190B">
      <w:pPr>
        <w:ind w:firstLine="567"/>
        <w:jc w:val="center"/>
        <w:rPr>
          <w:sz w:val="28"/>
          <w:szCs w:val="28"/>
          <w:lang w:val="uk-UA"/>
        </w:rPr>
      </w:pPr>
      <w:r w:rsidRPr="00CD2CA8">
        <w:rPr>
          <w:sz w:val="28"/>
          <w:szCs w:val="28"/>
          <w:lang w:val="uk-UA"/>
        </w:rPr>
        <w:t>за 201</w:t>
      </w:r>
      <w:r>
        <w:rPr>
          <w:sz w:val="28"/>
          <w:szCs w:val="28"/>
          <w:lang w:val="uk-UA"/>
        </w:rPr>
        <w:t xml:space="preserve">7 </w:t>
      </w:r>
      <w:r w:rsidRPr="00CD2CA8">
        <w:rPr>
          <w:sz w:val="28"/>
          <w:szCs w:val="28"/>
          <w:lang w:val="uk-UA"/>
        </w:rPr>
        <w:t xml:space="preserve">-2022рр. </w:t>
      </w:r>
      <w:r w:rsidRPr="001855B1">
        <w:rPr>
          <w:sz w:val="28"/>
          <w:szCs w:val="28"/>
          <w:lang w:val="uk-UA"/>
        </w:rPr>
        <w:t>(без урахування міжбюджетних трансфертів)</w:t>
      </w:r>
    </w:p>
    <w:p w:rsidR="00A8190B" w:rsidRPr="00E55C43" w:rsidRDefault="00A8190B" w:rsidP="00A8190B">
      <w:pPr>
        <w:ind w:firstLine="567"/>
        <w:jc w:val="center"/>
        <w:rPr>
          <w:sz w:val="28"/>
          <w:szCs w:val="28"/>
        </w:rPr>
      </w:pPr>
      <w:r>
        <w:rPr>
          <w:noProof/>
        </w:rPr>
        <w:drawing>
          <wp:inline distT="0" distB="0" distL="0" distR="0">
            <wp:extent cx="5947442" cy="3703705"/>
            <wp:effectExtent l="0" t="0" r="0" b="0"/>
            <wp:docPr id="2" name="Диаграмма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A8190B" w:rsidRDefault="00A8190B" w:rsidP="00A8190B">
      <w:pPr>
        <w:ind w:firstLine="567"/>
        <w:jc w:val="both"/>
        <w:rPr>
          <w:rFonts w:ascii="Times New (W1)" w:hAnsi="Times New (W1)" w:cs="Times New (W1)"/>
          <w:b/>
          <w:bCs/>
          <w:sz w:val="30"/>
          <w:szCs w:val="30"/>
          <w:lang w:val="uk-UA"/>
        </w:rPr>
      </w:pPr>
    </w:p>
    <w:p w:rsidR="00A8190B" w:rsidRPr="001855B1" w:rsidRDefault="00A8190B" w:rsidP="00A8190B">
      <w:pPr>
        <w:ind w:firstLine="567"/>
        <w:jc w:val="both"/>
        <w:rPr>
          <w:rFonts w:ascii="Times New (W1)" w:hAnsi="Times New (W1)" w:cs="Times New (W1)"/>
          <w:b/>
          <w:bCs/>
          <w:sz w:val="30"/>
          <w:szCs w:val="30"/>
          <w:lang w:val="uk-UA"/>
        </w:rPr>
      </w:pPr>
      <w:r w:rsidRPr="001855B1">
        <w:rPr>
          <w:rFonts w:ascii="Times New (W1)" w:hAnsi="Times New (W1)" w:cs="Times New (W1)"/>
          <w:b/>
          <w:bCs/>
          <w:sz w:val="30"/>
          <w:szCs w:val="30"/>
          <w:lang w:val="uk-UA"/>
        </w:rPr>
        <w:t>На 2022 рік плануються наступні надходження по загальному фонду.</w:t>
      </w:r>
    </w:p>
    <w:p w:rsidR="00A8190B" w:rsidRDefault="00A8190B" w:rsidP="00A8190B">
      <w:pPr>
        <w:ind w:firstLine="567"/>
        <w:jc w:val="both"/>
        <w:rPr>
          <w:b/>
          <w:bCs/>
          <w:color w:val="FF0000"/>
          <w:sz w:val="28"/>
          <w:szCs w:val="28"/>
          <w:lang w:val="uk-UA"/>
        </w:rPr>
      </w:pPr>
    </w:p>
    <w:p w:rsidR="00A8190B" w:rsidRPr="00397DD5" w:rsidRDefault="00A8190B" w:rsidP="00A8190B">
      <w:pPr>
        <w:ind w:firstLine="567"/>
        <w:jc w:val="both"/>
        <w:rPr>
          <w:b/>
          <w:bCs/>
          <w:sz w:val="28"/>
          <w:szCs w:val="28"/>
          <w:lang w:val="uk-UA"/>
        </w:rPr>
      </w:pPr>
      <w:r w:rsidRPr="00397DD5">
        <w:rPr>
          <w:b/>
          <w:bCs/>
          <w:sz w:val="28"/>
          <w:szCs w:val="28"/>
          <w:lang w:val="uk-UA"/>
        </w:rPr>
        <w:t xml:space="preserve">      Код 11010000 "Податок та збір на доходи фізичних осіб"</w:t>
      </w:r>
    </w:p>
    <w:p w:rsidR="00A8190B" w:rsidRPr="00397DD5" w:rsidRDefault="00A8190B" w:rsidP="00A8190B">
      <w:pPr>
        <w:ind w:firstLine="567"/>
        <w:jc w:val="both"/>
        <w:rPr>
          <w:b/>
          <w:bCs/>
          <w:sz w:val="28"/>
          <w:szCs w:val="28"/>
          <w:highlight w:val="yellow"/>
          <w:lang w:val="uk-UA"/>
        </w:rPr>
      </w:pPr>
    </w:p>
    <w:p w:rsidR="00A8190B" w:rsidRPr="00397DD5" w:rsidRDefault="00A8190B" w:rsidP="00A8190B">
      <w:pPr>
        <w:pStyle w:val="23"/>
        <w:tabs>
          <w:tab w:val="left" w:pos="993"/>
          <w:tab w:val="left" w:pos="1134"/>
        </w:tabs>
        <w:spacing w:line="240" w:lineRule="auto"/>
        <w:ind w:left="0" w:firstLine="567"/>
        <w:jc w:val="both"/>
        <w:rPr>
          <w:b/>
          <w:bCs/>
          <w:sz w:val="28"/>
          <w:szCs w:val="28"/>
          <w:lang w:val="uk-UA"/>
        </w:rPr>
      </w:pPr>
      <w:r w:rsidRPr="00397DD5">
        <w:rPr>
          <w:sz w:val="28"/>
          <w:szCs w:val="28"/>
          <w:lang w:val="uk-UA"/>
        </w:rPr>
        <w:t xml:space="preserve">     Прогноз надходжень податку та збору на доходи фізичних осіб на 2022</w:t>
      </w:r>
      <w:r w:rsidRPr="00397DD5">
        <w:rPr>
          <w:sz w:val="28"/>
          <w:szCs w:val="28"/>
        </w:rPr>
        <w:t> </w:t>
      </w:r>
      <w:r w:rsidRPr="00397DD5">
        <w:rPr>
          <w:sz w:val="28"/>
          <w:szCs w:val="28"/>
          <w:lang w:val="uk-UA"/>
        </w:rPr>
        <w:t xml:space="preserve">рік, розрахований із урахуванням прогнозного обсягу фонду оплати праці, рівня </w:t>
      </w:r>
      <w:r w:rsidRPr="00397DD5">
        <w:rPr>
          <w:sz w:val="28"/>
          <w:szCs w:val="28"/>
          <w:lang w:val="uk-UA"/>
        </w:rPr>
        <w:lastRenderedPageBreak/>
        <w:t>середньої заробітної плати, а також бази оподаткування з інших доходів та ставок оподаткування доходів фізич</w:t>
      </w:r>
      <w:r>
        <w:rPr>
          <w:sz w:val="28"/>
          <w:szCs w:val="28"/>
          <w:lang w:val="uk-UA"/>
        </w:rPr>
        <w:t xml:space="preserve">них (юридичних) осіб, становить </w:t>
      </w:r>
      <w:r>
        <w:rPr>
          <w:b/>
          <w:sz w:val="28"/>
          <w:szCs w:val="28"/>
          <w:lang w:val="uk-UA"/>
        </w:rPr>
        <w:t xml:space="preserve">82713,7 </w:t>
      </w:r>
      <w:r w:rsidRPr="00397DD5">
        <w:rPr>
          <w:b/>
          <w:bCs/>
          <w:sz w:val="28"/>
          <w:szCs w:val="28"/>
          <w:lang w:val="uk-UA"/>
        </w:rPr>
        <w:t>тис.грн.</w:t>
      </w:r>
    </w:p>
    <w:p w:rsidR="00A8190B" w:rsidRDefault="00A8190B" w:rsidP="00A8190B">
      <w:pPr>
        <w:ind w:firstLine="567"/>
        <w:jc w:val="center"/>
        <w:rPr>
          <w:sz w:val="28"/>
          <w:szCs w:val="28"/>
          <w:lang w:val="uk-UA"/>
        </w:rPr>
      </w:pPr>
    </w:p>
    <w:p w:rsidR="00A8190B" w:rsidRPr="00397DD5" w:rsidRDefault="00A8190B" w:rsidP="00A8190B">
      <w:pPr>
        <w:ind w:firstLine="567"/>
        <w:jc w:val="center"/>
        <w:rPr>
          <w:sz w:val="28"/>
          <w:szCs w:val="28"/>
          <w:lang w:val="uk-UA"/>
        </w:rPr>
      </w:pPr>
      <w:r w:rsidRPr="00397DD5">
        <w:rPr>
          <w:sz w:val="28"/>
          <w:szCs w:val="28"/>
          <w:lang w:val="uk-UA"/>
        </w:rPr>
        <w:t xml:space="preserve">Динаміка надходжень ПДФО до бюджету </w:t>
      </w:r>
    </w:p>
    <w:p w:rsidR="00A8190B" w:rsidRPr="00397DD5" w:rsidRDefault="00A8190B" w:rsidP="00A8190B">
      <w:pPr>
        <w:ind w:firstLine="567"/>
        <w:jc w:val="center"/>
        <w:rPr>
          <w:b/>
          <w:bCs/>
          <w:sz w:val="28"/>
          <w:szCs w:val="28"/>
          <w:highlight w:val="yellow"/>
          <w:lang w:val="uk-UA"/>
        </w:rPr>
      </w:pPr>
      <w:r w:rsidRPr="00397DD5">
        <w:rPr>
          <w:sz w:val="28"/>
          <w:szCs w:val="28"/>
          <w:lang w:val="uk-UA"/>
        </w:rPr>
        <w:t>Олевської міської територіальної громади за 2017-2022рр.</w:t>
      </w:r>
    </w:p>
    <w:p w:rsidR="00A8190B" w:rsidRDefault="00A8190B" w:rsidP="00A8190B">
      <w:pPr>
        <w:pStyle w:val="23"/>
        <w:tabs>
          <w:tab w:val="left" w:pos="993"/>
          <w:tab w:val="left" w:pos="1134"/>
        </w:tabs>
        <w:spacing w:line="240" w:lineRule="auto"/>
        <w:ind w:left="0" w:firstLine="567"/>
        <w:jc w:val="both"/>
        <w:rPr>
          <w:b/>
          <w:bCs/>
          <w:sz w:val="28"/>
          <w:szCs w:val="28"/>
          <w:lang w:val="uk-UA"/>
        </w:rPr>
      </w:pPr>
      <w:r>
        <w:rPr>
          <w:noProof/>
          <w:color w:val="FF0000"/>
        </w:rPr>
        <w:drawing>
          <wp:anchor distT="0" distB="0" distL="114300" distR="114300" simplePos="0" relativeHeight="251659264" behindDoc="0" locked="0" layoutInCell="1" allowOverlap="1">
            <wp:simplePos x="0" y="0"/>
            <wp:positionH relativeFrom="column">
              <wp:align>left</wp:align>
            </wp:positionH>
            <wp:positionV relativeFrom="paragraph">
              <wp:posOffset>209550</wp:posOffset>
            </wp:positionV>
            <wp:extent cx="5832475" cy="2769870"/>
            <wp:effectExtent l="0" t="0" r="0" b="0"/>
            <wp:wrapSquare wrapText="right"/>
            <wp:docPr id="61" name="Объект 6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b/>
          <w:bCs/>
          <w:color w:val="FF0000"/>
          <w:sz w:val="28"/>
          <w:szCs w:val="28"/>
          <w:highlight w:val="yellow"/>
          <w:lang w:val="uk-UA"/>
        </w:rPr>
        <w:br w:type="textWrapping" w:clear="all"/>
      </w:r>
    </w:p>
    <w:p w:rsidR="00A8190B" w:rsidRDefault="00A8190B" w:rsidP="00A8190B">
      <w:pPr>
        <w:pStyle w:val="23"/>
        <w:tabs>
          <w:tab w:val="left" w:pos="993"/>
          <w:tab w:val="left" w:pos="1134"/>
        </w:tabs>
        <w:spacing w:line="240" w:lineRule="auto"/>
        <w:ind w:left="0" w:firstLine="567"/>
        <w:jc w:val="both"/>
        <w:rPr>
          <w:b/>
          <w:bCs/>
          <w:sz w:val="28"/>
          <w:szCs w:val="28"/>
          <w:lang w:val="uk-UA"/>
        </w:rPr>
      </w:pPr>
    </w:p>
    <w:p w:rsidR="00A8190B" w:rsidRDefault="00A8190B" w:rsidP="00A8190B">
      <w:pPr>
        <w:pStyle w:val="23"/>
        <w:tabs>
          <w:tab w:val="left" w:pos="993"/>
          <w:tab w:val="left" w:pos="1134"/>
        </w:tabs>
        <w:spacing w:line="240" w:lineRule="auto"/>
        <w:ind w:left="0" w:firstLine="567"/>
        <w:jc w:val="both"/>
        <w:rPr>
          <w:b/>
          <w:bCs/>
          <w:sz w:val="28"/>
          <w:szCs w:val="28"/>
          <w:lang w:val="uk-UA"/>
        </w:rPr>
      </w:pPr>
    </w:p>
    <w:p w:rsidR="00A8190B" w:rsidRDefault="00A8190B" w:rsidP="00A8190B">
      <w:pPr>
        <w:pStyle w:val="23"/>
        <w:tabs>
          <w:tab w:val="left" w:pos="993"/>
          <w:tab w:val="left" w:pos="1134"/>
        </w:tabs>
        <w:spacing w:line="240" w:lineRule="auto"/>
        <w:ind w:left="0" w:firstLine="567"/>
        <w:jc w:val="both"/>
        <w:rPr>
          <w:b/>
          <w:bCs/>
          <w:sz w:val="28"/>
          <w:szCs w:val="28"/>
          <w:lang w:val="uk-UA"/>
        </w:rPr>
      </w:pPr>
    </w:p>
    <w:p w:rsidR="00A8190B" w:rsidRDefault="00A8190B" w:rsidP="00A8190B">
      <w:pPr>
        <w:pStyle w:val="23"/>
        <w:tabs>
          <w:tab w:val="left" w:pos="993"/>
          <w:tab w:val="left" w:pos="1134"/>
        </w:tabs>
        <w:spacing w:line="240" w:lineRule="auto"/>
        <w:ind w:left="0" w:firstLine="567"/>
        <w:jc w:val="both"/>
        <w:rPr>
          <w:b/>
          <w:bCs/>
          <w:sz w:val="28"/>
          <w:szCs w:val="28"/>
          <w:lang w:val="uk-UA"/>
        </w:rPr>
      </w:pPr>
    </w:p>
    <w:p w:rsidR="00A8190B" w:rsidRDefault="00A8190B" w:rsidP="00A8190B">
      <w:pPr>
        <w:pStyle w:val="23"/>
        <w:tabs>
          <w:tab w:val="left" w:pos="993"/>
          <w:tab w:val="left" w:pos="1134"/>
        </w:tabs>
        <w:spacing w:line="240" w:lineRule="auto"/>
        <w:ind w:left="0" w:firstLine="567"/>
        <w:jc w:val="both"/>
        <w:rPr>
          <w:b/>
          <w:bCs/>
          <w:sz w:val="28"/>
          <w:szCs w:val="28"/>
          <w:lang w:val="uk-UA"/>
        </w:rPr>
      </w:pPr>
    </w:p>
    <w:p w:rsidR="00A8190B" w:rsidRDefault="00A8190B" w:rsidP="00A8190B">
      <w:pPr>
        <w:pStyle w:val="23"/>
        <w:tabs>
          <w:tab w:val="left" w:pos="993"/>
          <w:tab w:val="left" w:pos="1134"/>
        </w:tabs>
        <w:spacing w:line="240" w:lineRule="auto"/>
        <w:ind w:left="0" w:firstLine="567"/>
        <w:jc w:val="both"/>
        <w:rPr>
          <w:b/>
          <w:bCs/>
          <w:sz w:val="28"/>
          <w:szCs w:val="28"/>
          <w:lang w:val="uk-UA"/>
        </w:rPr>
      </w:pPr>
    </w:p>
    <w:p w:rsidR="00A8190B" w:rsidRDefault="00A8190B" w:rsidP="00A8190B">
      <w:pPr>
        <w:pStyle w:val="23"/>
        <w:tabs>
          <w:tab w:val="left" w:pos="993"/>
          <w:tab w:val="left" w:pos="1134"/>
        </w:tabs>
        <w:spacing w:line="240" w:lineRule="auto"/>
        <w:ind w:left="0" w:firstLine="567"/>
        <w:jc w:val="both"/>
        <w:rPr>
          <w:b/>
          <w:bCs/>
          <w:sz w:val="28"/>
          <w:szCs w:val="28"/>
          <w:lang w:val="uk-UA"/>
        </w:rPr>
      </w:pPr>
    </w:p>
    <w:p w:rsidR="00A8190B" w:rsidRDefault="00A8190B" w:rsidP="00A8190B">
      <w:pPr>
        <w:pStyle w:val="23"/>
        <w:tabs>
          <w:tab w:val="left" w:pos="993"/>
          <w:tab w:val="left" w:pos="1134"/>
        </w:tabs>
        <w:spacing w:line="240" w:lineRule="auto"/>
        <w:ind w:left="0" w:firstLine="567"/>
        <w:jc w:val="both"/>
        <w:rPr>
          <w:b/>
          <w:bCs/>
          <w:sz w:val="28"/>
          <w:szCs w:val="28"/>
          <w:lang w:val="uk-UA"/>
        </w:rPr>
      </w:pPr>
    </w:p>
    <w:p w:rsidR="00A8190B" w:rsidRDefault="00A8190B" w:rsidP="00A8190B">
      <w:pPr>
        <w:pStyle w:val="23"/>
        <w:tabs>
          <w:tab w:val="left" w:pos="993"/>
          <w:tab w:val="left" w:pos="1134"/>
        </w:tabs>
        <w:spacing w:line="240" w:lineRule="auto"/>
        <w:ind w:left="0" w:firstLine="567"/>
        <w:jc w:val="both"/>
        <w:rPr>
          <w:b/>
          <w:bCs/>
          <w:sz w:val="28"/>
          <w:szCs w:val="28"/>
          <w:lang w:val="uk-UA"/>
        </w:rPr>
      </w:pPr>
    </w:p>
    <w:p w:rsidR="00A8190B" w:rsidRDefault="00A8190B" w:rsidP="00A8190B">
      <w:pPr>
        <w:pStyle w:val="23"/>
        <w:tabs>
          <w:tab w:val="left" w:pos="993"/>
          <w:tab w:val="left" w:pos="1134"/>
        </w:tabs>
        <w:spacing w:line="240" w:lineRule="auto"/>
        <w:ind w:left="0" w:firstLine="567"/>
        <w:jc w:val="both"/>
        <w:rPr>
          <w:b/>
          <w:bCs/>
          <w:sz w:val="28"/>
          <w:szCs w:val="28"/>
          <w:lang w:val="uk-UA"/>
        </w:rPr>
      </w:pPr>
    </w:p>
    <w:p w:rsidR="00A8190B" w:rsidRPr="00187309" w:rsidRDefault="00A8190B" w:rsidP="00A8190B">
      <w:pPr>
        <w:pStyle w:val="23"/>
        <w:tabs>
          <w:tab w:val="left" w:pos="993"/>
          <w:tab w:val="left" w:pos="1134"/>
        </w:tabs>
        <w:spacing w:line="240" w:lineRule="auto"/>
        <w:ind w:left="0" w:firstLine="567"/>
        <w:jc w:val="both"/>
        <w:rPr>
          <w:b/>
          <w:bCs/>
          <w:sz w:val="28"/>
          <w:szCs w:val="28"/>
          <w:lang w:val="uk-UA"/>
        </w:rPr>
      </w:pPr>
      <w:r w:rsidRPr="00187309">
        <w:rPr>
          <w:b/>
          <w:bCs/>
          <w:sz w:val="28"/>
          <w:szCs w:val="28"/>
          <w:lang w:val="uk-UA"/>
        </w:rPr>
        <w:t>Код 11020000  "Податок на прибуток підприємств"</w:t>
      </w:r>
    </w:p>
    <w:p w:rsidR="00A8190B" w:rsidRPr="00187309" w:rsidRDefault="00A8190B" w:rsidP="00A8190B">
      <w:pPr>
        <w:ind w:firstLine="567"/>
        <w:jc w:val="both"/>
        <w:rPr>
          <w:b/>
          <w:bCs/>
          <w:sz w:val="28"/>
          <w:szCs w:val="28"/>
          <w:highlight w:val="yellow"/>
          <w:lang w:val="uk-UA"/>
        </w:rPr>
      </w:pPr>
    </w:p>
    <w:p w:rsidR="00A8190B" w:rsidRPr="00187309" w:rsidRDefault="00A8190B" w:rsidP="00A8190B">
      <w:pPr>
        <w:ind w:firstLine="567"/>
        <w:jc w:val="both"/>
        <w:rPr>
          <w:sz w:val="28"/>
          <w:szCs w:val="28"/>
          <w:lang w:val="uk-UA"/>
        </w:rPr>
      </w:pPr>
      <w:r w:rsidRPr="00187309">
        <w:rPr>
          <w:sz w:val="28"/>
          <w:szCs w:val="28"/>
          <w:lang w:val="uk-UA"/>
        </w:rPr>
        <w:t xml:space="preserve">Прогнозна сума податку на прибуток підприємств до міського бюджету на 2022 рік становить </w:t>
      </w:r>
      <w:r w:rsidRPr="00187309">
        <w:rPr>
          <w:b/>
          <w:bCs/>
          <w:sz w:val="28"/>
          <w:szCs w:val="28"/>
          <w:lang w:val="uk-UA"/>
        </w:rPr>
        <w:t>0,5 тис.грн.</w:t>
      </w:r>
      <w:r w:rsidRPr="00187309">
        <w:rPr>
          <w:sz w:val="28"/>
          <w:szCs w:val="28"/>
          <w:lang w:val="uk-UA"/>
        </w:rPr>
        <w:t>(згідно даних відділу еко</w:t>
      </w:r>
      <w:r>
        <w:rPr>
          <w:sz w:val="28"/>
          <w:szCs w:val="28"/>
          <w:lang w:val="uk-UA"/>
        </w:rPr>
        <w:t xml:space="preserve">номічного розвитку, транспорту, </w:t>
      </w:r>
      <w:r w:rsidRPr="00187309">
        <w:rPr>
          <w:sz w:val="28"/>
          <w:szCs w:val="28"/>
          <w:lang w:val="uk-UA"/>
        </w:rPr>
        <w:t>інвестицій та комунальної власності Олевської міської ради</w:t>
      </w:r>
      <w:r>
        <w:rPr>
          <w:sz w:val="28"/>
          <w:szCs w:val="28"/>
          <w:lang w:val="uk-UA"/>
        </w:rPr>
        <w:t>, та фактичних надходжень за 2020 рік і очікуваних надходжень за 2021рік</w:t>
      </w:r>
      <w:r w:rsidRPr="00187309">
        <w:rPr>
          <w:sz w:val="28"/>
          <w:szCs w:val="28"/>
          <w:lang w:val="uk-UA"/>
        </w:rPr>
        <w:t>).</w:t>
      </w:r>
    </w:p>
    <w:p w:rsidR="00A8190B" w:rsidRPr="00187309" w:rsidRDefault="00A8190B" w:rsidP="00A8190B">
      <w:pPr>
        <w:ind w:firstLine="567"/>
        <w:jc w:val="both"/>
        <w:rPr>
          <w:sz w:val="28"/>
          <w:szCs w:val="28"/>
          <w:lang w:val="uk-UA"/>
        </w:rPr>
      </w:pPr>
    </w:p>
    <w:p w:rsidR="00A8190B" w:rsidRPr="00F8638F" w:rsidRDefault="00A8190B" w:rsidP="00A8190B">
      <w:pPr>
        <w:ind w:firstLine="567"/>
        <w:jc w:val="both"/>
        <w:rPr>
          <w:b/>
          <w:bCs/>
          <w:sz w:val="28"/>
          <w:szCs w:val="28"/>
          <w:lang w:val="uk-UA"/>
        </w:rPr>
      </w:pPr>
      <w:r w:rsidRPr="00F8638F">
        <w:rPr>
          <w:b/>
          <w:bCs/>
          <w:sz w:val="28"/>
          <w:szCs w:val="28"/>
          <w:lang w:val="uk-UA"/>
        </w:rPr>
        <w:t>Код 13010000 «Рентна плата за спеціальне використання лісових ресурсів»</w:t>
      </w:r>
    </w:p>
    <w:p w:rsidR="00A8190B" w:rsidRPr="00F8638F" w:rsidRDefault="00A8190B" w:rsidP="00A8190B">
      <w:pPr>
        <w:ind w:firstLine="567"/>
        <w:jc w:val="both"/>
        <w:rPr>
          <w:sz w:val="28"/>
          <w:szCs w:val="28"/>
          <w:lang w:val="uk-UA"/>
        </w:rPr>
      </w:pPr>
    </w:p>
    <w:p w:rsidR="00A8190B" w:rsidRPr="00F8638F" w:rsidRDefault="00A8190B" w:rsidP="00A8190B">
      <w:pPr>
        <w:ind w:firstLine="567"/>
        <w:jc w:val="both"/>
        <w:rPr>
          <w:sz w:val="28"/>
          <w:szCs w:val="28"/>
          <w:lang w:val="uk-UA"/>
        </w:rPr>
      </w:pPr>
      <w:r w:rsidRPr="00F8638F">
        <w:rPr>
          <w:sz w:val="28"/>
          <w:szCs w:val="28"/>
          <w:lang w:val="uk-UA"/>
        </w:rPr>
        <w:t xml:space="preserve">Прогнозна сума рентної плати за спеціальне використання лісових ресурсів до міського бюджету на 2022 рік становить </w:t>
      </w:r>
      <w:r w:rsidRPr="009649C5">
        <w:rPr>
          <w:b/>
          <w:sz w:val="28"/>
          <w:szCs w:val="28"/>
          <w:lang w:val="uk-UA"/>
        </w:rPr>
        <w:t xml:space="preserve">15363,0 </w:t>
      </w:r>
      <w:r w:rsidRPr="009649C5">
        <w:rPr>
          <w:b/>
          <w:bCs/>
          <w:sz w:val="28"/>
          <w:szCs w:val="28"/>
          <w:lang w:val="uk-UA"/>
        </w:rPr>
        <w:t>тис. грн</w:t>
      </w:r>
      <w:r w:rsidRPr="009649C5">
        <w:rPr>
          <w:sz w:val="28"/>
          <w:szCs w:val="28"/>
          <w:lang w:val="uk-UA"/>
        </w:rPr>
        <w:t xml:space="preserve">. </w:t>
      </w:r>
      <w:r w:rsidRPr="00F8638F">
        <w:rPr>
          <w:sz w:val="28"/>
          <w:szCs w:val="28"/>
          <w:lang w:val="uk-UA"/>
        </w:rPr>
        <w:t>(відповідно до фактичних надходжень 2020 року, очікуваних надходжень 2021 року із  наявної бази оподаткування та листів ДП Олевське лісове господарство, ДП Білокоровицьке лісове господарство, ДП Олевський лісгосп АПК).</w:t>
      </w:r>
    </w:p>
    <w:p w:rsidR="00A8190B" w:rsidRPr="00820A21" w:rsidRDefault="00A8190B" w:rsidP="00A8190B">
      <w:pPr>
        <w:ind w:firstLine="567"/>
        <w:jc w:val="both"/>
        <w:rPr>
          <w:b/>
          <w:color w:val="FF0000"/>
          <w:sz w:val="28"/>
          <w:szCs w:val="28"/>
          <w:lang w:val="uk-UA"/>
        </w:rPr>
      </w:pPr>
    </w:p>
    <w:p w:rsidR="00A8190B" w:rsidRPr="009B1F35" w:rsidRDefault="00A8190B" w:rsidP="00A8190B">
      <w:pPr>
        <w:ind w:firstLine="567"/>
        <w:jc w:val="both"/>
        <w:rPr>
          <w:b/>
          <w:color w:val="000000" w:themeColor="text1"/>
          <w:sz w:val="28"/>
          <w:szCs w:val="28"/>
          <w:lang w:val="uk-UA"/>
        </w:rPr>
      </w:pPr>
      <w:r w:rsidRPr="009B1F35">
        <w:rPr>
          <w:b/>
          <w:color w:val="000000" w:themeColor="text1"/>
          <w:sz w:val="28"/>
          <w:szCs w:val="28"/>
          <w:lang w:val="uk-UA"/>
        </w:rPr>
        <w:t>Код 13030000 «Рентна плата за користування надрами»</w:t>
      </w:r>
    </w:p>
    <w:p w:rsidR="00A8190B" w:rsidRPr="009B1F35" w:rsidRDefault="00A8190B" w:rsidP="00A8190B">
      <w:pPr>
        <w:ind w:firstLine="567"/>
        <w:jc w:val="both"/>
        <w:rPr>
          <w:b/>
          <w:color w:val="000000" w:themeColor="text1"/>
          <w:sz w:val="28"/>
          <w:szCs w:val="28"/>
          <w:lang w:val="uk-UA"/>
        </w:rPr>
      </w:pPr>
    </w:p>
    <w:p w:rsidR="00A8190B" w:rsidRPr="00687054" w:rsidRDefault="00A8190B" w:rsidP="00A8190B">
      <w:pPr>
        <w:ind w:firstLine="567"/>
        <w:jc w:val="both"/>
        <w:rPr>
          <w:color w:val="0070C0"/>
          <w:sz w:val="28"/>
          <w:szCs w:val="28"/>
          <w:lang w:val="uk-UA"/>
        </w:rPr>
      </w:pPr>
      <w:r w:rsidRPr="009B1F35">
        <w:rPr>
          <w:color w:val="000000" w:themeColor="text1"/>
          <w:sz w:val="28"/>
          <w:szCs w:val="28"/>
          <w:lang w:val="uk-UA"/>
        </w:rPr>
        <w:t xml:space="preserve">Прогнозна сума рентної плати за користування надрами до міського бюджету на 2022 рік становить </w:t>
      </w:r>
      <w:r w:rsidRPr="009B1F35">
        <w:rPr>
          <w:b/>
          <w:color w:val="000000" w:themeColor="text1"/>
          <w:sz w:val="28"/>
          <w:szCs w:val="28"/>
          <w:lang w:val="uk-UA"/>
        </w:rPr>
        <w:t>1,3 тис.грн</w:t>
      </w:r>
      <w:r>
        <w:rPr>
          <w:b/>
          <w:color w:val="000000" w:themeColor="text1"/>
          <w:sz w:val="28"/>
          <w:szCs w:val="28"/>
          <w:lang w:val="uk-UA"/>
        </w:rPr>
        <w:t>.</w:t>
      </w:r>
      <w:r w:rsidRPr="009B1F35">
        <w:rPr>
          <w:color w:val="000000" w:themeColor="text1"/>
          <w:sz w:val="28"/>
          <w:szCs w:val="28"/>
          <w:lang w:val="uk-UA"/>
        </w:rPr>
        <w:t xml:space="preserve"> (згідно</w:t>
      </w:r>
      <w:r w:rsidRPr="00804258">
        <w:rPr>
          <w:color w:val="000000" w:themeColor="text1"/>
          <w:sz w:val="28"/>
          <w:szCs w:val="28"/>
          <w:lang w:val="uk-UA"/>
        </w:rPr>
        <w:t xml:space="preserve"> даних відділу еко</w:t>
      </w:r>
      <w:r>
        <w:rPr>
          <w:color w:val="000000" w:themeColor="text1"/>
          <w:sz w:val="28"/>
          <w:szCs w:val="28"/>
          <w:lang w:val="uk-UA"/>
        </w:rPr>
        <w:t xml:space="preserve">номічного розвитку, транспорту, </w:t>
      </w:r>
      <w:r w:rsidRPr="00804258">
        <w:rPr>
          <w:color w:val="000000" w:themeColor="text1"/>
          <w:sz w:val="28"/>
          <w:szCs w:val="28"/>
          <w:lang w:val="uk-UA"/>
        </w:rPr>
        <w:t>інвестицій та комунальної власності Олевської міської ради).</w:t>
      </w:r>
    </w:p>
    <w:p w:rsidR="00A8190B" w:rsidRDefault="00A8190B" w:rsidP="00A8190B">
      <w:pPr>
        <w:ind w:firstLine="567"/>
        <w:jc w:val="both"/>
        <w:rPr>
          <w:b/>
          <w:bCs/>
          <w:sz w:val="28"/>
          <w:szCs w:val="28"/>
          <w:lang w:val="uk-UA"/>
        </w:rPr>
      </w:pPr>
    </w:p>
    <w:p w:rsidR="00A8190B" w:rsidRPr="00687054" w:rsidRDefault="00A8190B" w:rsidP="00A8190B">
      <w:pPr>
        <w:ind w:firstLine="567"/>
        <w:jc w:val="both"/>
        <w:rPr>
          <w:b/>
          <w:bCs/>
          <w:sz w:val="28"/>
          <w:szCs w:val="28"/>
          <w:lang w:val="uk-UA"/>
        </w:rPr>
      </w:pPr>
      <w:r w:rsidRPr="00687054">
        <w:rPr>
          <w:b/>
          <w:bCs/>
          <w:sz w:val="28"/>
          <w:szCs w:val="28"/>
          <w:lang w:val="uk-UA"/>
        </w:rPr>
        <w:lastRenderedPageBreak/>
        <w:t>Код 14020000 «Акцизний податок з вироблених в Україні підакцизних товарів (продукції)» (пальне)</w:t>
      </w:r>
    </w:p>
    <w:p w:rsidR="00A8190B" w:rsidRPr="00687054" w:rsidRDefault="00A8190B" w:rsidP="00A8190B">
      <w:pPr>
        <w:ind w:firstLine="567"/>
        <w:jc w:val="both"/>
        <w:rPr>
          <w:bCs/>
          <w:sz w:val="28"/>
          <w:szCs w:val="28"/>
          <w:lang w:val="uk-UA"/>
        </w:rPr>
      </w:pPr>
      <w:r w:rsidRPr="00687054">
        <w:rPr>
          <w:sz w:val="28"/>
          <w:szCs w:val="28"/>
          <w:lang w:val="uk-UA"/>
        </w:rPr>
        <w:t xml:space="preserve">Прогнозні надходження акцизного податку з вироблених в Україні підакцизних товарів до міського бюджету на 2022 рік в обсязі </w:t>
      </w:r>
      <w:r w:rsidRPr="009649C5">
        <w:rPr>
          <w:b/>
          <w:bCs/>
          <w:sz w:val="28"/>
          <w:szCs w:val="28"/>
          <w:lang w:val="uk-UA"/>
        </w:rPr>
        <w:t xml:space="preserve">1800,00 тис. грн. </w:t>
      </w:r>
      <w:r w:rsidRPr="00687054">
        <w:rPr>
          <w:b/>
          <w:bCs/>
          <w:sz w:val="28"/>
          <w:szCs w:val="28"/>
          <w:lang w:val="uk-UA"/>
        </w:rPr>
        <w:t>(</w:t>
      </w:r>
      <w:r w:rsidRPr="00687054">
        <w:rPr>
          <w:bCs/>
          <w:sz w:val="28"/>
          <w:szCs w:val="28"/>
          <w:lang w:val="uk-UA"/>
        </w:rPr>
        <w:t>в</w:t>
      </w:r>
      <w:r>
        <w:rPr>
          <w:bCs/>
          <w:sz w:val="28"/>
          <w:szCs w:val="28"/>
          <w:lang w:val="uk-UA"/>
        </w:rPr>
        <w:t>изначено відповідно до очікуваних</w:t>
      </w:r>
      <w:r w:rsidRPr="00687054">
        <w:rPr>
          <w:bCs/>
          <w:sz w:val="28"/>
          <w:szCs w:val="28"/>
          <w:lang w:val="uk-UA"/>
        </w:rPr>
        <w:t xml:space="preserve"> надходжень податку за 2021 рік).</w:t>
      </w:r>
    </w:p>
    <w:p w:rsidR="00A8190B" w:rsidRPr="00820A21" w:rsidRDefault="00A8190B" w:rsidP="00A8190B">
      <w:pPr>
        <w:ind w:firstLine="567"/>
        <w:jc w:val="center"/>
        <w:rPr>
          <w:color w:val="FF0000"/>
          <w:sz w:val="28"/>
          <w:szCs w:val="28"/>
          <w:lang w:val="uk-UA"/>
        </w:rPr>
      </w:pPr>
    </w:p>
    <w:p w:rsidR="00A8190B" w:rsidRPr="00687054" w:rsidRDefault="00A8190B" w:rsidP="00A8190B">
      <w:pPr>
        <w:ind w:firstLine="567"/>
        <w:jc w:val="center"/>
        <w:rPr>
          <w:sz w:val="28"/>
          <w:szCs w:val="28"/>
          <w:lang w:val="uk-UA"/>
        </w:rPr>
      </w:pPr>
      <w:r w:rsidRPr="00687054">
        <w:rPr>
          <w:sz w:val="28"/>
          <w:szCs w:val="28"/>
          <w:lang w:val="uk-UA"/>
        </w:rPr>
        <w:t>Динаміка надходжень акцизу на пальне  (виробленого в Україні) до бюджетуОлевської</w:t>
      </w:r>
      <w:r>
        <w:rPr>
          <w:sz w:val="28"/>
          <w:szCs w:val="28"/>
          <w:lang w:val="uk-UA"/>
        </w:rPr>
        <w:t xml:space="preserve"> міської </w:t>
      </w:r>
      <w:r w:rsidRPr="00687054">
        <w:rPr>
          <w:sz w:val="28"/>
          <w:szCs w:val="28"/>
          <w:lang w:val="uk-UA"/>
        </w:rPr>
        <w:t>територіальноїгромадиза 2017-2022 рр.</w:t>
      </w:r>
    </w:p>
    <w:p w:rsidR="00A8190B" w:rsidRPr="00820A21" w:rsidRDefault="00A8190B" w:rsidP="00A8190B">
      <w:pPr>
        <w:ind w:firstLine="567"/>
        <w:jc w:val="both"/>
        <w:rPr>
          <w:bCs/>
          <w:color w:val="FF0000"/>
          <w:sz w:val="28"/>
          <w:szCs w:val="28"/>
          <w:lang w:val="uk-UA"/>
        </w:rPr>
      </w:pPr>
      <w:r w:rsidRPr="00820A21">
        <w:rPr>
          <w:noProof/>
          <w:color w:val="FF0000"/>
        </w:rPr>
        <w:drawing>
          <wp:inline distT="0" distB="0" distL="0" distR="0">
            <wp:extent cx="5801446" cy="2597204"/>
            <wp:effectExtent l="0" t="0" r="0" b="0"/>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A8190B" w:rsidRPr="00687054" w:rsidRDefault="00A8190B" w:rsidP="00A8190B">
      <w:pPr>
        <w:ind w:firstLine="567"/>
        <w:jc w:val="both"/>
        <w:rPr>
          <w:b/>
          <w:bCs/>
          <w:sz w:val="28"/>
          <w:szCs w:val="28"/>
          <w:lang w:val="uk-UA"/>
        </w:rPr>
      </w:pPr>
      <w:r w:rsidRPr="00687054">
        <w:rPr>
          <w:b/>
          <w:bCs/>
          <w:sz w:val="28"/>
          <w:szCs w:val="28"/>
          <w:lang w:val="uk-UA"/>
        </w:rPr>
        <w:t>Код 14030000 «Акцизний податок з ввезених на митну територію України підакцизних товарів (продукції)» (пальне)</w:t>
      </w:r>
    </w:p>
    <w:p w:rsidR="00A8190B" w:rsidRPr="00687054" w:rsidRDefault="00A8190B" w:rsidP="00A8190B">
      <w:pPr>
        <w:ind w:firstLine="567"/>
        <w:jc w:val="both"/>
        <w:rPr>
          <w:bCs/>
          <w:sz w:val="28"/>
          <w:szCs w:val="28"/>
          <w:lang w:val="uk-UA"/>
        </w:rPr>
      </w:pPr>
      <w:r w:rsidRPr="00687054">
        <w:rPr>
          <w:sz w:val="28"/>
          <w:szCs w:val="28"/>
          <w:lang w:val="uk-UA"/>
        </w:rPr>
        <w:t xml:space="preserve">Прогнозні надходження акцизного податку з вироблених в Україні підакцизних товарів до міського бюджету на 2022 рік в обсязі </w:t>
      </w:r>
      <w:r w:rsidRPr="009649C5">
        <w:rPr>
          <w:b/>
          <w:bCs/>
          <w:sz w:val="28"/>
          <w:szCs w:val="28"/>
          <w:lang w:val="uk-UA"/>
        </w:rPr>
        <w:t xml:space="preserve">6000,0 тис. грн. </w:t>
      </w:r>
      <w:r w:rsidRPr="00687054">
        <w:rPr>
          <w:b/>
          <w:bCs/>
          <w:sz w:val="28"/>
          <w:szCs w:val="28"/>
          <w:lang w:val="uk-UA"/>
        </w:rPr>
        <w:t>(</w:t>
      </w:r>
      <w:r w:rsidRPr="00687054">
        <w:rPr>
          <w:bCs/>
          <w:sz w:val="28"/>
          <w:szCs w:val="28"/>
          <w:lang w:val="uk-UA"/>
        </w:rPr>
        <w:t>в</w:t>
      </w:r>
      <w:r>
        <w:rPr>
          <w:bCs/>
          <w:sz w:val="28"/>
          <w:szCs w:val="28"/>
          <w:lang w:val="uk-UA"/>
        </w:rPr>
        <w:t>изначено відповідно до очікуваних</w:t>
      </w:r>
      <w:r w:rsidRPr="00687054">
        <w:rPr>
          <w:bCs/>
          <w:sz w:val="28"/>
          <w:szCs w:val="28"/>
          <w:lang w:val="uk-UA"/>
        </w:rPr>
        <w:t xml:space="preserve"> надходжень податку за 2021 рік)</w:t>
      </w:r>
    </w:p>
    <w:p w:rsidR="00A8190B" w:rsidRPr="00687054" w:rsidRDefault="00A8190B" w:rsidP="00A8190B">
      <w:pPr>
        <w:ind w:firstLine="567"/>
        <w:jc w:val="both"/>
        <w:rPr>
          <w:bCs/>
          <w:sz w:val="28"/>
          <w:szCs w:val="28"/>
          <w:lang w:val="uk-UA"/>
        </w:rPr>
      </w:pPr>
    </w:p>
    <w:p w:rsidR="00A8190B" w:rsidRPr="00687054" w:rsidRDefault="00A8190B" w:rsidP="00A8190B">
      <w:pPr>
        <w:ind w:firstLine="567"/>
        <w:jc w:val="center"/>
        <w:rPr>
          <w:sz w:val="28"/>
          <w:szCs w:val="28"/>
          <w:lang w:val="uk-UA"/>
        </w:rPr>
      </w:pPr>
      <w:r w:rsidRPr="00687054">
        <w:rPr>
          <w:sz w:val="28"/>
          <w:szCs w:val="28"/>
          <w:lang w:val="uk-UA"/>
        </w:rPr>
        <w:t>Динаміка надходжень акцизу на пальне  (ввезеного на митну територію) до бюджету Олевської</w:t>
      </w:r>
      <w:r>
        <w:rPr>
          <w:sz w:val="28"/>
          <w:szCs w:val="28"/>
          <w:lang w:val="uk-UA"/>
        </w:rPr>
        <w:t>міської територіальної громади</w:t>
      </w:r>
      <w:r w:rsidRPr="00687054">
        <w:rPr>
          <w:sz w:val="28"/>
          <w:szCs w:val="28"/>
          <w:lang w:val="uk-UA"/>
        </w:rPr>
        <w:t xml:space="preserve"> за 2017-2022 рр.</w:t>
      </w:r>
    </w:p>
    <w:p w:rsidR="00A8190B" w:rsidRPr="00820A21" w:rsidRDefault="00A8190B" w:rsidP="00A8190B">
      <w:pPr>
        <w:ind w:firstLine="567"/>
        <w:jc w:val="both"/>
        <w:rPr>
          <w:bCs/>
          <w:color w:val="FF0000"/>
          <w:sz w:val="28"/>
          <w:szCs w:val="28"/>
          <w:lang w:val="uk-UA"/>
        </w:rPr>
      </w:pPr>
    </w:p>
    <w:p w:rsidR="00A8190B" w:rsidRPr="00820A21" w:rsidRDefault="00A8190B" w:rsidP="00A8190B">
      <w:pPr>
        <w:ind w:firstLine="567"/>
        <w:jc w:val="both"/>
        <w:rPr>
          <w:color w:val="FF0000"/>
          <w:sz w:val="28"/>
          <w:szCs w:val="28"/>
          <w:lang w:val="uk-UA"/>
        </w:rPr>
      </w:pPr>
      <w:r w:rsidRPr="00820A21">
        <w:rPr>
          <w:noProof/>
          <w:color w:val="FF0000"/>
        </w:rPr>
        <w:drawing>
          <wp:inline distT="0" distB="0" distL="0" distR="0">
            <wp:extent cx="6124833" cy="2946903"/>
            <wp:effectExtent l="0" t="0" r="9267" b="0"/>
            <wp:docPr id="1" name="Диаграм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8190B" w:rsidRPr="00BC3E16" w:rsidRDefault="00A8190B" w:rsidP="00A8190B">
      <w:pPr>
        <w:ind w:firstLine="567"/>
        <w:jc w:val="both"/>
        <w:rPr>
          <w:b/>
          <w:bCs/>
          <w:sz w:val="28"/>
          <w:szCs w:val="28"/>
          <w:lang w:val="uk-UA"/>
        </w:rPr>
      </w:pPr>
      <w:r w:rsidRPr="00BC3E16">
        <w:rPr>
          <w:b/>
          <w:bCs/>
          <w:sz w:val="28"/>
          <w:szCs w:val="28"/>
          <w:lang w:val="uk-UA"/>
        </w:rPr>
        <w:lastRenderedPageBreak/>
        <w:t>Код 14040000 «Акцизний податок з реалізації суб’єктами господарювання роздрібної торгівлі підакцизних товарів»</w:t>
      </w:r>
    </w:p>
    <w:p w:rsidR="00A8190B" w:rsidRPr="00BC3E16" w:rsidRDefault="00A8190B" w:rsidP="00A8190B">
      <w:pPr>
        <w:ind w:firstLine="567"/>
        <w:jc w:val="both"/>
        <w:rPr>
          <w:sz w:val="28"/>
          <w:szCs w:val="28"/>
          <w:lang w:val="uk-UA"/>
        </w:rPr>
      </w:pPr>
    </w:p>
    <w:p w:rsidR="00A8190B" w:rsidRPr="00BC3E16" w:rsidRDefault="00A8190B" w:rsidP="00A8190B">
      <w:pPr>
        <w:ind w:firstLine="567"/>
        <w:jc w:val="both"/>
        <w:rPr>
          <w:sz w:val="28"/>
          <w:szCs w:val="28"/>
          <w:lang w:val="uk-UA"/>
        </w:rPr>
      </w:pPr>
      <w:r w:rsidRPr="00BC3E16">
        <w:rPr>
          <w:sz w:val="28"/>
          <w:szCs w:val="28"/>
          <w:lang w:val="uk-UA"/>
        </w:rPr>
        <w:t xml:space="preserve">Прогнозні надходження акцизного податку з реалізації суб’єктами господарювання роздрібної торгівлі підакцизних товарів до міського бюджету на 2022 рік визначені по діючому законодавству, що передбачає зарахування надходжень з алкогольних напоїв та тютюнових виробів до міського бюджету в обсязі </w:t>
      </w:r>
      <w:r>
        <w:rPr>
          <w:b/>
          <w:bCs/>
          <w:sz w:val="28"/>
          <w:szCs w:val="28"/>
          <w:lang w:val="uk-UA"/>
        </w:rPr>
        <w:t>10</w:t>
      </w:r>
      <w:r w:rsidRPr="00BC3E16">
        <w:rPr>
          <w:b/>
          <w:bCs/>
          <w:sz w:val="28"/>
          <w:szCs w:val="28"/>
          <w:lang w:val="uk-UA"/>
        </w:rPr>
        <w:t>00,00 тис. грн.</w:t>
      </w:r>
      <w:r w:rsidRPr="00BC3E16">
        <w:rPr>
          <w:sz w:val="28"/>
          <w:szCs w:val="28"/>
          <w:lang w:val="uk-UA"/>
        </w:rPr>
        <w:t xml:space="preserve"> (Закон про внесення змін до Податкового кодексу України та деяких законодавчих актів України щодо забезпечення збалансованості бюджетних надходжень №56</w:t>
      </w:r>
      <w:r w:rsidRPr="00BC3E16">
        <w:rPr>
          <w:sz w:val="28"/>
          <w:szCs w:val="28"/>
        </w:rPr>
        <w:t>0</w:t>
      </w:r>
      <w:r w:rsidRPr="00BC3E16">
        <w:rPr>
          <w:sz w:val="28"/>
          <w:szCs w:val="28"/>
          <w:lang w:val="uk-UA"/>
        </w:rPr>
        <w:t>0 від 02.06.2021 р.  та згідно даних відділу економічного розвитку, транспорту, інвестицій та комунальної власності Олевської міської ради).</w:t>
      </w:r>
    </w:p>
    <w:p w:rsidR="00A8190B" w:rsidRPr="00BC3E16" w:rsidRDefault="00A8190B" w:rsidP="00A8190B">
      <w:pPr>
        <w:ind w:firstLine="567"/>
        <w:jc w:val="both"/>
        <w:rPr>
          <w:sz w:val="28"/>
          <w:szCs w:val="28"/>
          <w:lang w:val="uk-UA"/>
        </w:rPr>
      </w:pPr>
    </w:p>
    <w:p w:rsidR="00A8190B" w:rsidRPr="00BC3E16" w:rsidRDefault="00A8190B" w:rsidP="00A8190B">
      <w:pPr>
        <w:ind w:firstLine="567"/>
        <w:jc w:val="center"/>
        <w:rPr>
          <w:sz w:val="28"/>
          <w:szCs w:val="28"/>
          <w:lang w:val="uk-UA"/>
        </w:rPr>
      </w:pPr>
      <w:r w:rsidRPr="00BC3E16">
        <w:rPr>
          <w:sz w:val="28"/>
          <w:szCs w:val="28"/>
          <w:lang w:val="uk-UA"/>
        </w:rPr>
        <w:t xml:space="preserve">Динаміка надходжень акцизного податку з реалізації </w:t>
      </w:r>
    </w:p>
    <w:p w:rsidR="00A8190B" w:rsidRPr="00BC3E16" w:rsidRDefault="00A8190B" w:rsidP="00A8190B">
      <w:pPr>
        <w:ind w:firstLine="567"/>
        <w:jc w:val="center"/>
        <w:rPr>
          <w:sz w:val="28"/>
          <w:szCs w:val="28"/>
          <w:lang w:val="uk-UA"/>
        </w:rPr>
      </w:pPr>
      <w:r w:rsidRPr="00BC3E16">
        <w:rPr>
          <w:sz w:val="28"/>
          <w:szCs w:val="28"/>
          <w:lang w:val="uk-UA"/>
        </w:rPr>
        <w:t>суб’єктами господарювання роздрібної торгівлі підакцизних товарів</w:t>
      </w:r>
    </w:p>
    <w:p w:rsidR="00A8190B" w:rsidRPr="00BC3E16" w:rsidRDefault="00A8190B" w:rsidP="00A8190B">
      <w:pPr>
        <w:ind w:firstLine="567"/>
        <w:jc w:val="center"/>
        <w:rPr>
          <w:sz w:val="28"/>
          <w:szCs w:val="28"/>
          <w:lang w:val="uk-UA"/>
        </w:rPr>
      </w:pPr>
      <w:r w:rsidRPr="00BC3E16">
        <w:rPr>
          <w:sz w:val="28"/>
          <w:szCs w:val="28"/>
          <w:lang w:val="uk-UA"/>
        </w:rPr>
        <w:t xml:space="preserve">до бюджету Олевської міської територіальної громади </w:t>
      </w:r>
    </w:p>
    <w:p w:rsidR="00A8190B" w:rsidRPr="00BC3E16" w:rsidRDefault="00A8190B" w:rsidP="00A8190B">
      <w:pPr>
        <w:ind w:firstLine="567"/>
        <w:jc w:val="center"/>
        <w:rPr>
          <w:sz w:val="28"/>
          <w:szCs w:val="28"/>
          <w:lang w:val="uk-UA"/>
        </w:rPr>
      </w:pPr>
      <w:r w:rsidRPr="00BC3E16">
        <w:rPr>
          <w:sz w:val="28"/>
          <w:szCs w:val="28"/>
          <w:lang w:val="uk-UA"/>
        </w:rPr>
        <w:t>за 2017-2022рр.</w:t>
      </w:r>
    </w:p>
    <w:p w:rsidR="00A8190B" w:rsidRPr="00820A21" w:rsidRDefault="00A8190B" w:rsidP="00A8190B">
      <w:pPr>
        <w:ind w:firstLine="567"/>
        <w:jc w:val="both"/>
        <w:rPr>
          <w:color w:val="FF0000"/>
          <w:sz w:val="28"/>
          <w:szCs w:val="28"/>
          <w:lang w:val="uk-UA"/>
        </w:rPr>
      </w:pPr>
      <w:r>
        <w:rPr>
          <w:noProof/>
          <w:color w:val="FF0000"/>
        </w:rPr>
        <w:drawing>
          <wp:inline distT="0" distB="0" distL="0" distR="0">
            <wp:extent cx="5106670" cy="2092960"/>
            <wp:effectExtent l="0" t="0" r="0" b="0"/>
            <wp:docPr id="23" name="Объект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A8190B" w:rsidRPr="00DA1938" w:rsidRDefault="00A8190B" w:rsidP="00A8190B">
      <w:pPr>
        <w:ind w:firstLine="567"/>
        <w:jc w:val="both"/>
        <w:rPr>
          <w:b/>
          <w:bCs/>
          <w:sz w:val="28"/>
          <w:szCs w:val="28"/>
          <w:lang w:val="uk-UA"/>
        </w:rPr>
      </w:pPr>
      <w:r w:rsidRPr="00DA1938">
        <w:rPr>
          <w:b/>
          <w:bCs/>
          <w:sz w:val="28"/>
          <w:szCs w:val="28"/>
          <w:lang w:val="uk-UA"/>
        </w:rPr>
        <w:t>Код 18010000 «Податок на майно»</w:t>
      </w:r>
    </w:p>
    <w:p w:rsidR="00A8190B" w:rsidRPr="00820A21" w:rsidRDefault="00A8190B" w:rsidP="00A8190B">
      <w:pPr>
        <w:ind w:firstLine="567"/>
        <w:jc w:val="both"/>
        <w:rPr>
          <w:color w:val="FF0000"/>
          <w:sz w:val="28"/>
          <w:szCs w:val="28"/>
          <w:highlight w:val="yellow"/>
          <w:lang w:val="uk-UA"/>
        </w:rPr>
      </w:pPr>
    </w:p>
    <w:p w:rsidR="00A8190B" w:rsidRPr="00DA1938" w:rsidRDefault="00A8190B" w:rsidP="00A8190B">
      <w:pPr>
        <w:ind w:firstLine="567"/>
        <w:jc w:val="both"/>
        <w:rPr>
          <w:color w:val="000000" w:themeColor="text1"/>
          <w:sz w:val="28"/>
          <w:szCs w:val="28"/>
          <w:lang w:val="uk-UA"/>
        </w:rPr>
      </w:pPr>
      <w:r w:rsidRPr="00DA1938">
        <w:rPr>
          <w:color w:val="000000" w:themeColor="text1"/>
          <w:sz w:val="28"/>
          <w:szCs w:val="28"/>
          <w:lang w:val="uk-UA"/>
        </w:rPr>
        <w:t xml:space="preserve">Прогнозна сума податку на майно до міського бюджету на 2022 рік становить </w:t>
      </w:r>
      <w:r w:rsidRPr="00DA1938">
        <w:rPr>
          <w:b/>
          <w:bCs/>
          <w:color w:val="000000" w:themeColor="text1"/>
          <w:sz w:val="28"/>
          <w:szCs w:val="28"/>
          <w:lang w:val="uk-UA"/>
        </w:rPr>
        <w:t xml:space="preserve">20924,1 тис.грн. </w:t>
      </w:r>
      <w:r w:rsidRPr="00DA1938">
        <w:rPr>
          <w:color w:val="000000" w:themeColor="text1"/>
          <w:sz w:val="28"/>
          <w:szCs w:val="28"/>
          <w:lang w:val="uk-UA"/>
        </w:rPr>
        <w:t xml:space="preserve">(визначений на рівні очікуваних надходжень за 2021 рік та з врахуванням заключних договорів) та </w:t>
      </w:r>
      <w:r w:rsidRPr="00DA1938">
        <w:rPr>
          <w:color w:val="000000" w:themeColor="text1"/>
          <w:sz w:val="28"/>
          <w:szCs w:val="28"/>
          <w:u w:val="single"/>
          <w:lang w:val="uk-UA"/>
        </w:rPr>
        <w:t>включає в себе</w:t>
      </w:r>
      <w:r w:rsidRPr="00DA1938">
        <w:rPr>
          <w:color w:val="000000" w:themeColor="text1"/>
          <w:sz w:val="28"/>
          <w:szCs w:val="28"/>
          <w:lang w:val="uk-UA"/>
        </w:rPr>
        <w:t>:</w:t>
      </w:r>
    </w:p>
    <w:p w:rsidR="00A8190B" w:rsidRPr="00DA1938" w:rsidRDefault="00A8190B" w:rsidP="00A8190B">
      <w:pPr>
        <w:numPr>
          <w:ilvl w:val="0"/>
          <w:numId w:val="2"/>
        </w:numPr>
        <w:tabs>
          <w:tab w:val="clear" w:pos="1605"/>
          <w:tab w:val="num" w:pos="0"/>
        </w:tabs>
        <w:ind w:left="0" w:firstLine="567"/>
        <w:jc w:val="both"/>
        <w:rPr>
          <w:color w:val="000000" w:themeColor="text1"/>
          <w:sz w:val="28"/>
          <w:szCs w:val="28"/>
          <w:lang w:val="uk-UA"/>
        </w:rPr>
      </w:pPr>
      <w:r w:rsidRPr="00DA1938">
        <w:rPr>
          <w:color w:val="000000" w:themeColor="text1"/>
          <w:sz w:val="28"/>
          <w:szCs w:val="28"/>
          <w:lang w:val="uk-UA"/>
        </w:rPr>
        <w:t xml:space="preserve">18010100 «Податок на нерухоме майно, відмінне від земельної ділянки, сплачений юридичними особами, які є власниками об’єктів житлової нерухомості» прогнозна сума на 2022 рік становить – </w:t>
      </w:r>
      <w:r w:rsidRPr="00DA1938">
        <w:rPr>
          <w:b/>
          <w:color w:val="000000" w:themeColor="text1"/>
          <w:sz w:val="28"/>
          <w:szCs w:val="28"/>
          <w:lang w:val="uk-UA"/>
        </w:rPr>
        <w:t xml:space="preserve">24,4 </w:t>
      </w:r>
      <w:r w:rsidRPr="00DA1938">
        <w:rPr>
          <w:b/>
          <w:bCs/>
          <w:color w:val="000000" w:themeColor="text1"/>
          <w:sz w:val="28"/>
          <w:szCs w:val="28"/>
          <w:u w:val="single"/>
          <w:lang w:val="uk-UA"/>
        </w:rPr>
        <w:t>тис.грн.</w:t>
      </w:r>
    </w:p>
    <w:p w:rsidR="00A8190B" w:rsidRPr="00DA1938" w:rsidRDefault="00A8190B" w:rsidP="00A8190B">
      <w:pPr>
        <w:numPr>
          <w:ilvl w:val="0"/>
          <w:numId w:val="2"/>
        </w:numPr>
        <w:tabs>
          <w:tab w:val="clear" w:pos="1605"/>
          <w:tab w:val="num" w:pos="0"/>
        </w:tabs>
        <w:ind w:left="0" w:firstLine="567"/>
        <w:jc w:val="both"/>
        <w:rPr>
          <w:color w:val="000000" w:themeColor="text1"/>
          <w:sz w:val="28"/>
          <w:szCs w:val="28"/>
          <w:lang w:val="uk-UA"/>
        </w:rPr>
      </w:pPr>
      <w:r w:rsidRPr="00DA1938">
        <w:rPr>
          <w:color w:val="000000" w:themeColor="text1"/>
          <w:sz w:val="28"/>
          <w:szCs w:val="28"/>
          <w:lang w:val="uk-UA"/>
        </w:rPr>
        <w:t xml:space="preserve">18010200 «Податок на нерухоме майно, відмінне від земельної ділянки, сплачений фізичними особами, які є власниками об’єктів житлової нерухомості» прогнозна сума на 2022 рік становить – </w:t>
      </w:r>
      <w:r w:rsidRPr="00DA1938">
        <w:rPr>
          <w:b/>
          <w:bCs/>
          <w:color w:val="000000" w:themeColor="text1"/>
          <w:sz w:val="28"/>
          <w:szCs w:val="28"/>
          <w:u w:val="single"/>
          <w:lang w:val="uk-UA"/>
        </w:rPr>
        <w:t>189,1 тис.грн.</w:t>
      </w:r>
    </w:p>
    <w:p w:rsidR="00A8190B" w:rsidRPr="00DA1938" w:rsidRDefault="00A8190B" w:rsidP="00A8190B">
      <w:pPr>
        <w:numPr>
          <w:ilvl w:val="0"/>
          <w:numId w:val="2"/>
        </w:numPr>
        <w:tabs>
          <w:tab w:val="clear" w:pos="1605"/>
          <w:tab w:val="num" w:pos="0"/>
        </w:tabs>
        <w:ind w:left="0" w:firstLine="567"/>
        <w:jc w:val="both"/>
        <w:rPr>
          <w:color w:val="000000" w:themeColor="text1"/>
          <w:sz w:val="28"/>
          <w:szCs w:val="28"/>
          <w:lang w:val="uk-UA"/>
        </w:rPr>
      </w:pPr>
      <w:r w:rsidRPr="00DA1938">
        <w:rPr>
          <w:bCs/>
          <w:color w:val="000000" w:themeColor="text1"/>
          <w:sz w:val="28"/>
          <w:szCs w:val="28"/>
          <w:lang w:val="uk-UA"/>
        </w:rPr>
        <w:t xml:space="preserve">18010300 «Податок на нерухоме майно, відмінне від земельної ділянки, сплачений фізичними особами, які є власниками об’єктів житлової нерухомості» прогнозна сума на 2022 рік становить – </w:t>
      </w:r>
      <w:r w:rsidRPr="00DA1938">
        <w:rPr>
          <w:b/>
          <w:bCs/>
          <w:color w:val="000000" w:themeColor="text1"/>
          <w:sz w:val="28"/>
          <w:szCs w:val="28"/>
          <w:u w:val="single"/>
          <w:lang w:val="uk-UA"/>
        </w:rPr>
        <w:t>336,4 тис.грн.</w:t>
      </w:r>
    </w:p>
    <w:p w:rsidR="00A8190B" w:rsidRPr="00DA1938" w:rsidRDefault="00A8190B" w:rsidP="00A8190B">
      <w:pPr>
        <w:numPr>
          <w:ilvl w:val="0"/>
          <w:numId w:val="2"/>
        </w:numPr>
        <w:tabs>
          <w:tab w:val="clear" w:pos="1605"/>
          <w:tab w:val="num" w:pos="0"/>
        </w:tabs>
        <w:ind w:left="0" w:firstLine="567"/>
        <w:jc w:val="both"/>
        <w:rPr>
          <w:color w:val="000000" w:themeColor="text1"/>
          <w:sz w:val="28"/>
          <w:szCs w:val="28"/>
          <w:lang w:val="uk-UA"/>
        </w:rPr>
      </w:pPr>
      <w:r w:rsidRPr="00DA1938">
        <w:rPr>
          <w:color w:val="000000" w:themeColor="text1"/>
          <w:sz w:val="28"/>
          <w:szCs w:val="28"/>
          <w:lang w:val="uk-UA"/>
        </w:rPr>
        <w:t xml:space="preserve">18010400 «Податок на нерухоме майно, відмінне від земельної ділянки, сплачений юридичними особами, які є власниками об’єктів нежитлової нерухомості» прогнозна сума на 2022 рік становить – </w:t>
      </w:r>
      <w:r w:rsidRPr="00DA1938">
        <w:rPr>
          <w:b/>
          <w:bCs/>
          <w:color w:val="000000" w:themeColor="text1"/>
          <w:sz w:val="28"/>
          <w:szCs w:val="28"/>
          <w:u w:val="single"/>
          <w:lang w:val="uk-UA"/>
        </w:rPr>
        <w:t>945,6 тис.грн.</w:t>
      </w:r>
    </w:p>
    <w:p w:rsidR="00A8190B" w:rsidRPr="008A4815" w:rsidRDefault="00A8190B" w:rsidP="00A8190B">
      <w:pPr>
        <w:numPr>
          <w:ilvl w:val="0"/>
          <w:numId w:val="2"/>
        </w:numPr>
        <w:tabs>
          <w:tab w:val="clear" w:pos="1605"/>
          <w:tab w:val="num" w:pos="0"/>
        </w:tabs>
        <w:ind w:left="0" w:firstLine="567"/>
        <w:jc w:val="both"/>
        <w:rPr>
          <w:color w:val="000000" w:themeColor="text1"/>
          <w:sz w:val="28"/>
          <w:szCs w:val="28"/>
        </w:rPr>
      </w:pPr>
      <w:r w:rsidRPr="008A4815">
        <w:rPr>
          <w:color w:val="000000" w:themeColor="text1"/>
          <w:sz w:val="28"/>
          <w:szCs w:val="28"/>
          <w:lang w:val="uk-UA"/>
        </w:rPr>
        <w:lastRenderedPageBreak/>
        <w:t xml:space="preserve">18010500 «Земельний податок з юридичних осіб» прогнозна сума на 2022 рік становить </w:t>
      </w:r>
      <w:r w:rsidRPr="008A4815">
        <w:rPr>
          <w:b/>
          <w:bCs/>
          <w:color w:val="000000" w:themeColor="text1"/>
          <w:sz w:val="28"/>
          <w:szCs w:val="28"/>
          <w:u w:val="single"/>
          <w:lang w:val="uk-UA"/>
        </w:rPr>
        <w:t>11538,00 тис.грн</w:t>
      </w:r>
      <w:r w:rsidRPr="008A4815">
        <w:rPr>
          <w:color w:val="000000" w:themeColor="text1"/>
          <w:sz w:val="28"/>
          <w:szCs w:val="28"/>
          <w:lang w:val="uk-UA"/>
        </w:rPr>
        <w:t xml:space="preserve">. (згідно даних </w:t>
      </w:r>
      <w:r w:rsidRPr="00AB30FF">
        <w:rPr>
          <w:color w:val="000000" w:themeColor="text1"/>
          <w:sz w:val="28"/>
          <w:szCs w:val="28"/>
          <w:lang w:val="uk-UA"/>
        </w:rPr>
        <w:t>відділу землекористування</w:t>
      </w:r>
      <w:r w:rsidR="00F8297C">
        <w:rPr>
          <w:color w:val="000000" w:themeColor="text1"/>
          <w:sz w:val="28"/>
          <w:szCs w:val="28"/>
          <w:lang w:val="uk-UA"/>
        </w:rPr>
        <w:t xml:space="preserve"> </w:t>
      </w:r>
      <w:r w:rsidRPr="008A4815">
        <w:rPr>
          <w:color w:val="000000" w:themeColor="text1"/>
          <w:sz w:val="28"/>
          <w:szCs w:val="28"/>
          <w:lang w:val="uk-UA"/>
        </w:rPr>
        <w:t>Олевської міської ради</w:t>
      </w:r>
      <w:r w:rsidR="00F8297C">
        <w:rPr>
          <w:color w:val="000000" w:themeColor="text1"/>
          <w:sz w:val="28"/>
          <w:szCs w:val="28"/>
          <w:lang w:val="uk-UA"/>
        </w:rPr>
        <w:t xml:space="preserve"> </w:t>
      </w:r>
      <w:r w:rsidRPr="008A4815">
        <w:rPr>
          <w:color w:val="000000" w:themeColor="text1"/>
          <w:sz w:val="28"/>
          <w:szCs w:val="28"/>
          <w:lang w:val="uk-UA"/>
        </w:rPr>
        <w:t>та відповідно до очікуваних надходжень на 2021рік ).</w:t>
      </w:r>
    </w:p>
    <w:p w:rsidR="00A8190B" w:rsidRPr="00FB5B1B" w:rsidRDefault="00A8190B" w:rsidP="00A8190B">
      <w:pPr>
        <w:numPr>
          <w:ilvl w:val="0"/>
          <w:numId w:val="2"/>
        </w:numPr>
        <w:tabs>
          <w:tab w:val="clear" w:pos="1605"/>
          <w:tab w:val="num" w:pos="0"/>
        </w:tabs>
        <w:ind w:left="0" w:firstLine="567"/>
        <w:jc w:val="both"/>
        <w:rPr>
          <w:color w:val="000000" w:themeColor="text1"/>
          <w:sz w:val="28"/>
          <w:szCs w:val="28"/>
          <w:lang w:val="uk-UA"/>
        </w:rPr>
      </w:pPr>
      <w:r w:rsidRPr="003A69EE">
        <w:rPr>
          <w:color w:val="000000" w:themeColor="text1"/>
          <w:sz w:val="28"/>
          <w:szCs w:val="28"/>
          <w:lang w:val="uk-UA"/>
        </w:rPr>
        <w:t xml:space="preserve">18010600 «Орендна плата з юридичних осіб» прогнозна сума на 2022 рік становить </w:t>
      </w:r>
      <w:r w:rsidRPr="003A69EE">
        <w:rPr>
          <w:b/>
          <w:bCs/>
          <w:color w:val="000000" w:themeColor="text1"/>
          <w:sz w:val="28"/>
          <w:szCs w:val="28"/>
          <w:u w:val="single"/>
          <w:lang w:val="uk-UA"/>
        </w:rPr>
        <w:t>6929,5 тис.грн</w:t>
      </w:r>
      <w:r w:rsidRPr="003A69EE">
        <w:rPr>
          <w:color w:val="000000" w:themeColor="text1"/>
          <w:sz w:val="28"/>
          <w:szCs w:val="28"/>
          <w:lang w:val="uk-UA"/>
        </w:rPr>
        <w:t xml:space="preserve">. (згідно даних </w:t>
      </w:r>
      <w:r w:rsidRPr="00AB30FF">
        <w:rPr>
          <w:color w:val="000000" w:themeColor="text1"/>
          <w:sz w:val="28"/>
          <w:szCs w:val="28"/>
          <w:lang w:val="uk-UA"/>
        </w:rPr>
        <w:t>відділу землекористування</w:t>
      </w:r>
      <w:r w:rsidR="00F8297C">
        <w:rPr>
          <w:color w:val="000000" w:themeColor="text1"/>
          <w:sz w:val="28"/>
          <w:szCs w:val="28"/>
          <w:lang w:val="uk-UA"/>
        </w:rPr>
        <w:t xml:space="preserve"> </w:t>
      </w:r>
      <w:r w:rsidRPr="003A69EE">
        <w:rPr>
          <w:color w:val="000000" w:themeColor="text1"/>
          <w:sz w:val="28"/>
          <w:szCs w:val="28"/>
          <w:lang w:val="uk-UA"/>
        </w:rPr>
        <w:t>Олевської</w:t>
      </w:r>
      <w:r w:rsidR="00F8297C">
        <w:rPr>
          <w:color w:val="000000" w:themeColor="text1"/>
          <w:sz w:val="28"/>
          <w:szCs w:val="28"/>
          <w:lang w:val="uk-UA"/>
        </w:rPr>
        <w:t xml:space="preserve"> </w:t>
      </w:r>
      <w:r w:rsidRPr="00FB5B1B">
        <w:rPr>
          <w:color w:val="000000" w:themeColor="text1"/>
          <w:sz w:val="28"/>
          <w:szCs w:val="28"/>
          <w:lang w:val="uk-UA"/>
        </w:rPr>
        <w:t xml:space="preserve">міської ради </w:t>
      </w:r>
      <w:r w:rsidRPr="00AB30FF">
        <w:rPr>
          <w:color w:val="000000" w:themeColor="text1"/>
          <w:sz w:val="28"/>
          <w:szCs w:val="28"/>
          <w:lang w:val="uk-UA"/>
        </w:rPr>
        <w:t>розрахованих</w:t>
      </w:r>
      <w:r w:rsidRPr="00FB5B1B">
        <w:rPr>
          <w:color w:val="000000" w:themeColor="text1"/>
          <w:sz w:val="28"/>
          <w:szCs w:val="28"/>
          <w:lang w:val="uk-UA"/>
        </w:rPr>
        <w:t xml:space="preserve"> відповідно до очікуваних надходжень за 2021 рік та з розрахунку підписання договорів на оренду землі).</w:t>
      </w:r>
    </w:p>
    <w:p w:rsidR="00A8190B" w:rsidRPr="00B960D4" w:rsidRDefault="00A8190B" w:rsidP="00A8190B">
      <w:pPr>
        <w:numPr>
          <w:ilvl w:val="0"/>
          <w:numId w:val="2"/>
        </w:numPr>
        <w:tabs>
          <w:tab w:val="clear" w:pos="1605"/>
          <w:tab w:val="num" w:pos="0"/>
        </w:tabs>
        <w:ind w:left="0" w:firstLine="567"/>
        <w:jc w:val="both"/>
        <w:rPr>
          <w:color w:val="000000" w:themeColor="text1"/>
          <w:sz w:val="28"/>
          <w:szCs w:val="28"/>
        </w:rPr>
      </w:pPr>
      <w:r w:rsidRPr="00B960D4">
        <w:rPr>
          <w:color w:val="000000" w:themeColor="text1"/>
          <w:sz w:val="28"/>
          <w:szCs w:val="28"/>
          <w:lang w:val="uk-UA"/>
        </w:rPr>
        <w:t xml:space="preserve">18010700 «Земельний податок з фізичних осіб» прогнозна сума на 2022 рік становить </w:t>
      </w:r>
      <w:r w:rsidRPr="00B960D4">
        <w:rPr>
          <w:b/>
          <w:bCs/>
          <w:color w:val="000000" w:themeColor="text1"/>
          <w:sz w:val="28"/>
          <w:szCs w:val="28"/>
          <w:u w:val="single"/>
          <w:lang w:val="uk-UA"/>
        </w:rPr>
        <w:t>5,3 тис. грн</w:t>
      </w:r>
      <w:r w:rsidRPr="00B960D4">
        <w:rPr>
          <w:color w:val="000000" w:themeColor="text1"/>
          <w:sz w:val="28"/>
          <w:szCs w:val="28"/>
          <w:lang w:val="uk-UA"/>
        </w:rPr>
        <w:t>.  (</w:t>
      </w:r>
      <w:r w:rsidRPr="00B960D4">
        <w:rPr>
          <w:bCs/>
          <w:color w:val="000000" w:themeColor="text1"/>
          <w:sz w:val="28"/>
          <w:szCs w:val="28"/>
          <w:lang w:val="uk-UA"/>
        </w:rPr>
        <w:t xml:space="preserve">визначено відповідно до планових надходжень податку за 2021 рік  та </w:t>
      </w:r>
      <w:r w:rsidRPr="00B960D4">
        <w:rPr>
          <w:color w:val="000000" w:themeColor="text1"/>
          <w:sz w:val="28"/>
          <w:szCs w:val="28"/>
          <w:lang w:val="uk-UA"/>
        </w:rPr>
        <w:t xml:space="preserve">згідно даних </w:t>
      </w:r>
      <w:r w:rsidRPr="00AB30FF">
        <w:rPr>
          <w:color w:val="000000" w:themeColor="text1"/>
          <w:sz w:val="28"/>
          <w:szCs w:val="28"/>
          <w:lang w:val="uk-UA"/>
        </w:rPr>
        <w:t>відділу землекористування</w:t>
      </w:r>
      <w:r w:rsidR="00F8297C">
        <w:rPr>
          <w:color w:val="000000" w:themeColor="text1"/>
          <w:sz w:val="28"/>
          <w:szCs w:val="28"/>
          <w:lang w:val="uk-UA"/>
        </w:rPr>
        <w:t xml:space="preserve"> </w:t>
      </w:r>
      <w:r w:rsidRPr="00B960D4">
        <w:rPr>
          <w:color w:val="000000" w:themeColor="text1"/>
          <w:sz w:val="28"/>
          <w:szCs w:val="28"/>
          <w:lang w:val="uk-UA"/>
        </w:rPr>
        <w:t>Олевської міської ради).</w:t>
      </w:r>
    </w:p>
    <w:p w:rsidR="00A8190B" w:rsidRPr="00804258" w:rsidRDefault="00A8190B" w:rsidP="00A8190B">
      <w:pPr>
        <w:numPr>
          <w:ilvl w:val="0"/>
          <w:numId w:val="2"/>
        </w:numPr>
        <w:tabs>
          <w:tab w:val="clear" w:pos="1605"/>
          <w:tab w:val="num" w:pos="0"/>
        </w:tabs>
        <w:ind w:left="0" w:firstLine="567"/>
        <w:jc w:val="both"/>
        <w:rPr>
          <w:sz w:val="28"/>
          <w:szCs w:val="28"/>
          <w:lang w:val="uk-UA"/>
        </w:rPr>
      </w:pPr>
      <w:r w:rsidRPr="00804258">
        <w:rPr>
          <w:sz w:val="28"/>
          <w:szCs w:val="28"/>
          <w:lang w:val="uk-UA"/>
        </w:rPr>
        <w:t xml:space="preserve">18010900 «Орендна плата з фізичних осіб» прогнозна сума на 2022 рік становить </w:t>
      </w:r>
      <w:r w:rsidRPr="00804258">
        <w:rPr>
          <w:b/>
          <w:bCs/>
          <w:sz w:val="28"/>
          <w:szCs w:val="28"/>
          <w:u w:val="single"/>
          <w:lang w:val="uk-UA"/>
        </w:rPr>
        <w:t>955,8 тис.грн</w:t>
      </w:r>
      <w:r w:rsidRPr="00804258">
        <w:rPr>
          <w:sz w:val="28"/>
          <w:szCs w:val="28"/>
          <w:lang w:val="uk-UA"/>
        </w:rPr>
        <w:t xml:space="preserve">. (згідно даних </w:t>
      </w:r>
      <w:r w:rsidRPr="00AB30FF">
        <w:rPr>
          <w:color w:val="000000" w:themeColor="text1"/>
          <w:sz w:val="28"/>
          <w:szCs w:val="28"/>
          <w:lang w:val="uk-UA"/>
        </w:rPr>
        <w:t>відділу землекористування</w:t>
      </w:r>
      <w:r w:rsidR="00F8297C">
        <w:rPr>
          <w:color w:val="000000" w:themeColor="text1"/>
          <w:sz w:val="28"/>
          <w:szCs w:val="28"/>
          <w:lang w:val="uk-UA"/>
        </w:rPr>
        <w:t xml:space="preserve"> </w:t>
      </w:r>
      <w:r w:rsidRPr="00804258">
        <w:rPr>
          <w:sz w:val="28"/>
          <w:szCs w:val="28"/>
          <w:lang w:val="uk-UA"/>
        </w:rPr>
        <w:t>Олевської міської ради розрахован</w:t>
      </w:r>
      <w:r>
        <w:rPr>
          <w:sz w:val="28"/>
          <w:szCs w:val="28"/>
          <w:lang w:val="uk-UA"/>
        </w:rPr>
        <w:t>их</w:t>
      </w:r>
      <w:r w:rsidRPr="00804258">
        <w:rPr>
          <w:sz w:val="28"/>
          <w:szCs w:val="28"/>
          <w:lang w:val="uk-UA"/>
        </w:rPr>
        <w:t xml:space="preserve"> відповідно фактичних надходжень за 2021 рік).</w:t>
      </w:r>
    </w:p>
    <w:p w:rsidR="00A8190B" w:rsidRPr="00820A21" w:rsidRDefault="00A8190B" w:rsidP="00A8190B">
      <w:pPr>
        <w:ind w:left="720" w:firstLine="567"/>
        <w:jc w:val="center"/>
        <w:rPr>
          <w:color w:val="FF0000"/>
          <w:sz w:val="28"/>
          <w:szCs w:val="28"/>
          <w:lang w:val="uk-UA"/>
        </w:rPr>
      </w:pPr>
    </w:p>
    <w:p w:rsidR="00A8190B" w:rsidRPr="00804258" w:rsidRDefault="00A8190B" w:rsidP="00A8190B">
      <w:pPr>
        <w:ind w:left="720" w:firstLine="567"/>
        <w:jc w:val="center"/>
        <w:rPr>
          <w:color w:val="000000" w:themeColor="text1"/>
          <w:sz w:val="28"/>
          <w:szCs w:val="28"/>
          <w:lang w:val="uk-UA"/>
        </w:rPr>
      </w:pPr>
      <w:r w:rsidRPr="00804258">
        <w:rPr>
          <w:color w:val="000000" w:themeColor="text1"/>
          <w:sz w:val="28"/>
          <w:szCs w:val="28"/>
          <w:lang w:val="uk-UA"/>
        </w:rPr>
        <w:t>Динаміка надходжень податку на майно</w:t>
      </w:r>
    </w:p>
    <w:p w:rsidR="00A8190B" w:rsidRPr="00804258" w:rsidRDefault="00A8190B" w:rsidP="00A8190B">
      <w:pPr>
        <w:ind w:left="720" w:firstLine="567"/>
        <w:jc w:val="center"/>
        <w:rPr>
          <w:color w:val="000000" w:themeColor="text1"/>
          <w:sz w:val="28"/>
          <w:szCs w:val="28"/>
          <w:lang w:val="uk-UA"/>
        </w:rPr>
      </w:pPr>
      <w:r w:rsidRPr="00804258">
        <w:rPr>
          <w:color w:val="000000" w:themeColor="text1"/>
          <w:sz w:val="28"/>
          <w:szCs w:val="28"/>
          <w:lang w:val="uk-UA"/>
        </w:rPr>
        <w:t xml:space="preserve"> до міського бюджету Олевської міської територіальної громади за 2017-2022рр.</w:t>
      </w:r>
    </w:p>
    <w:p w:rsidR="00A8190B" w:rsidRPr="00820A21" w:rsidRDefault="00A8190B" w:rsidP="00A8190B">
      <w:pPr>
        <w:ind w:firstLine="567"/>
        <w:jc w:val="both"/>
        <w:rPr>
          <w:color w:val="FF0000"/>
          <w:sz w:val="28"/>
          <w:szCs w:val="28"/>
          <w:highlight w:val="yellow"/>
          <w:lang w:val="uk-UA"/>
        </w:rPr>
      </w:pPr>
      <w:r>
        <w:rPr>
          <w:noProof/>
          <w:color w:val="FF0000"/>
        </w:rPr>
        <w:drawing>
          <wp:inline distT="0" distB="0" distL="0" distR="0">
            <wp:extent cx="6297930" cy="2827020"/>
            <wp:effectExtent l="0" t="0" r="0" b="0"/>
            <wp:docPr id="32" name="Объект 2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8190B" w:rsidRPr="00820A21" w:rsidRDefault="00A8190B" w:rsidP="00A8190B">
      <w:pPr>
        <w:jc w:val="both"/>
        <w:rPr>
          <w:color w:val="FF0000"/>
          <w:sz w:val="28"/>
          <w:szCs w:val="28"/>
          <w:highlight w:val="yellow"/>
          <w:lang w:val="uk-UA"/>
        </w:rPr>
      </w:pPr>
      <w:r>
        <w:rPr>
          <w:noProof/>
        </w:rPr>
        <w:drawing>
          <wp:inline distT="0" distB="0" distL="0" distR="0">
            <wp:extent cx="3185877" cy="2806574"/>
            <wp:effectExtent l="19050" t="0" r="14523" b="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Pr>
          <w:noProof/>
        </w:rPr>
        <w:drawing>
          <wp:inline distT="0" distB="0" distL="0" distR="0">
            <wp:extent cx="3081297" cy="2804673"/>
            <wp:effectExtent l="19050" t="0" r="23853" b="0"/>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A8190B" w:rsidRPr="00804258" w:rsidRDefault="00A8190B" w:rsidP="00A8190B">
      <w:pPr>
        <w:ind w:left="720" w:firstLine="567"/>
        <w:jc w:val="both"/>
        <w:rPr>
          <w:b/>
          <w:bCs/>
          <w:color w:val="000000" w:themeColor="text1"/>
          <w:sz w:val="28"/>
          <w:szCs w:val="28"/>
          <w:lang w:val="uk-UA"/>
        </w:rPr>
      </w:pPr>
      <w:r w:rsidRPr="00804258">
        <w:rPr>
          <w:b/>
          <w:bCs/>
          <w:color w:val="000000" w:themeColor="text1"/>
          <w:sz w:val="28"/>
          <w:szCs w:val="28"/>
          <w:lang w:val="uk-UA"/>
        </w:rPr>
        <w:lastRenderedPageBreak/>
        <w:t>Код 18030000 «Туристичний збір»</w:t>
      </w:r>
    </w:p>
    <w:p w:rsidR="00A8190B" w:rsidRPr="00820A21" w:rsidRDefault="00A8190B" w:rsidP="00A8190B">
      <w:pPr>
        <w:ind w:left="720" w:firstLine="567"/>
        <w:jc w:val="both"/>
        <w:rPr>
          <w:color w:val="FF0000"/>
          <w:sz w:val="28"/>
          <w:szCs w:val="28"/>
          <w:highlight w:val="yellow"/>
          <w:lang w:val="uk-UA"/>
        </w:rPr>
      </w:pPr>
    </w:p>
    <w:p w:rsidR="00A8190B" w:rsidRPr="00804258" w:rsidRDefault="00A8190B" w:rsidP="00A8190B">
      <w:pPr>
        <w:ind w:firstLine="567"/>
        <w:jc w:val="both"/>
        <w:rPr>
          <w:color w:val="000000" w:themeColor="text1"/>
          <w:sz w:val="28"/>
          <w:szCs w:val="28"/>
          <w:lang w:val="uk-UA"/>
        </w:rPr>
      </w:pPr>
      <w:r w:rsidRPr="00804258">
        <w:rPr>
          <w:color w:val="000000" w:themeColor="text1"/>
          <w:sz w:val="28"/>
          <w:szCs w:val="28"/>
          <w:lang w:val="uk-UA"/>
        </w:rPr>
        <w:t xml:space="preserve">Прогнозна сума туристичного збору до міського бюджету на 2022 рік становить </w:t>
      </w:r>
      <w:r w:rsidRPr="00804258">
        <w:rPr>
          <w:b/>
          <w:bCs/>
          <w:color w:val="000000" w:themeColor="text1"/>
          <w:sz w:val="28"/>
          <w:szCs w:val="28"/>
          <w:lang w:val="uk-UA"/>
        </w:rPr>
        <w:t xml:space="preserve">3,1 тис.грн. </w:t>
      </w:r>
      <w:r w:rsidRPr="00804258">
        <w:rPr>
          <w:color w:val="000000" w:themeColor="text1"/>
          <w:sz w:val="28"/>
          <w:szCs w:val="28"/>
          <w:lang w:val="uk-UA"/>
        </w:rPr>
        <w:t>(згідно даних відділу еко</w:t>
      </w:r>
      <w:r>
        <w:rPr>
          <w:color w:val="000000" w:themeColor="text1"/>
          <w:sz w:val="28"/>
          <w:szCs w:val="28"/>
          <w:lang w:val="uk-UA"/>
        </w:rPr>
        <w:t>номічного розвитку, транспорту,</w:t>
      </w:r>
      <w:r w:rsidRPr="00804258">
        <w:rPr>
          <w:color w:val="000000" w:themeColor="text1"/>
          <w:sz w:val="28"/>
          <w:szCs w:val="28"/>
          <w:lang w:val="uk-UA"/>
        </w:rPr>
        <w:t xml:space="preserve"> інвестицій та комунальної власності Олевської міської ради).</w:t>
      </w:r>
    </w:p>
    <w:p w:rsidR="00A8190B" w:rsidRPr="000C0F88" w:rsidRDefault="00A8190B" w:rsidP="00A8190B">
      <w:pPr>
        <w:ind w:firstLine="567"/>
        <w:jc w:val="both"/>
        <w:rPr>
          <w:sz w:val="28"/>
          <w:szCs w:val="28"/>
          <w:highlight w:val="yellow"/>
          <w:lang w:val="uk-UA"/>
        </w:rPr>
      </w:pPr>
    </w:p>
    <w:p w:rsidR="00A8190B" w:rsidRPr="000C0F88" w:rsidRDefault="00A8190B" w:rsidP="00A8190B">
      <w:pPr>
        <w:ind w:firstLine="567"/>
        <w:jc w:val="both"/>
        <w:rPr>
          <w:b/>
          <w:bCs/>
          <w:sz w:val="28"/>
          <w:szCs w:val="28"/>
          <w:lang w:val="uk-UA"/>
        </w:rPr>
      </w:pPr>
      <w:r w:rsidRPr="000C0F88">
        <w:rPr>
          <w:b/>
          <w:bCs/>
          <w:sz w:val="28"/>
          <w:szCs w:val="28"/>
          <w:lang w:val="uk-UA"/>
        </w:rPr>
        <w:t>Код 18050000 «Єдиний податок»</w:t>
      </w:r>
    </w:p>
    <w:p w:rsidR="00A8190B" w:rsidRPr="000C0F88" w:rsidRDefault="00A8190B" w:rsidP="00A8190B">
      <w:pPr>
        <w:ind w:firstLine="567"/>
        <w:jc w:val="both"/>
        <w:rPr>
          <w:sz w:val="28"/>
          <w:szCs w:val="28"/>
          <w:highlight w:val="yellow"/>
          <w:lang w:val="uk-UA"/>
        </w:rPr>
      </w:pPr>
    </w:p>
    <w:p w:rsidR="00A8190B" w:rsidRPr="000600EC" w:rsidRDefault="00A8190B" w:rsidP="00A8190B">
      <w:pPr>
        <w:ind w:firstLine="567"/>
        <w:jc w:val="both"/>
        <w:rPr>
          <w:color w:val="000000" w:themeColor="text1"/>
          <w:sz w:val="28"/>
          <w:szCs w:val="28"/>
          <w:lang w:val="uk-UA"/>
        </w:rPr>
      </w:pPr>
      <w:r w:rsidRPr="000C0F88">
        <w:rPr>
          <w:sz w:val="28"/>
          <w:szCs w:val="28"/>
          <w:lang w:val="uk-UA"/>
        </w:rPr>
        <w:t xml:space="preserve">Прогнозна сума єдиного податку до міського бюджету на 2022 рік становить </w:t>
      </w:r>
      <w:r w:rsidRPr="000C0F88">
        <w:rPr>
          <w:b/>
          <w:bCs/>
          <w:sz w:val="28"/>
          <w:szCs w:val="28"/>
          <w:lang w:val="uk-UA"/>
        </w:rPr>
        <w:t>19449,6тис.грн.</w:t>
      </w:r>
      <w:r w:rsidRPr="000C0F88">
        <w:rPr>
          <w:sz w:val="28"/>
          <w:szCs w:val="28"/>
          <w:lang w:val="uk-UA"/>
        </w:rPr>
        <w:t>(визначений на рівні очікуваних надходжень за 2021 рік за наявної бази оподаткування</w:t>
      </w:r>
      <w:r w:rsidRPr="000600EC">
        <w:rPr>
          <w:color w:val="000000" w:themeColor="text1"/>
          <w:sz w:val="28"/>
          <w:szCs w:val="28"/>
          <w:lang w:val="uk-UA"/>
        </w:rPr>
        <w:t>та збільшено на коефіцієнт підвищення мінімальної заробітної плати та прожиткового мінімуму станом на 1 січня 2022 року).</w:t>
      </w:r>
    </w:p>
    <w:p w:rsidR="00A8190B" w:rsidRPr="00820A21" w:rsidRDefault="00A8190B" w:rsidP="00A8190B">
      <w:pPr>
        <w:ind w:left="720" w:firstLine="567"/>
        <w:jc w:val="center"/>
        <w:rPr>
          <w:color w:val="FF0000"/>
          <w:sz w:val="28"/>
          <w:szCs w:val="28"/>
          <w:lang w:val="uk-UA"/>
        </w:rPr>
      </w:pPr>
    </w:p>
    <w:p w:rsidR="00A8190B" w:rsidRPr="000C0F88" w:rsidRDefault="00A8190B" w:rsidP="00A8190B">
      <w:pPr>
        <w:ind w:left="720" w:firstLine="567"/>
        <w:jc w:val="center"/>
        <w:rPr>
          <w:sz w:val="28"/>
          <w:szCs w:val="28"/>
          <w:lang w:val="uk-UA"/>
        </w:rPr>
      </w:pPr>
      <w:r w:rsidRPr="000C0F88">
        <w:rPr>
          <w:sz w:val="28"/>
          <w:szCs w:val="28"/>
          <w:lang w:val="uk-UA"/>
        </w:rPr>
        <w:t>Динаміка надходжень єдиного податку</w:t>
      </w:r>
    </w:p>
    <w:p w:rsidR="00A8190B" w:rsidRPr="00820A21" w:rsidRDefault="00A8190B" w:rsidP="00A8190B">
      <w:pPr>
        <w:ind w:left="720" w:firstLine="567"/>
        <w:jc w:val="center"/>
        <w:rPr>
          <w:color w:val="FF0000"/>
          <w:sz w:val="28"/>
          <w:szCs w:val="28"/>
          <w:lang w:val="uk-UA"/>
        </w:rPr>
      </w:pPr>
      <w:r w:rsidRPr="000C0F88">
        <w:rPr>
          <w:sz w:val="28"/>
          <w:szCs w:val="28"/>
          <w:lang w:val="uk-UA"/>
        </w:rPr>
        <w:t xml:space="preserve"> до міського бюджету Олевської міської територіальної громади за 2017-2022рр.</w:t>
      </w:r>
    </w:p>
    <w:p w:rsidR="00A8190B" w:rsidRPr="00820A21" w:rsidRDefault="00A8190B" w:rsidP="00A8190B">
      <w:pPr>
        <w:ind w:firstLine="567"/>
        <w:jc w:val="both"/>
        <w:rPr>
          <w:color w:val="FF0000"/>
          <w:sz w:val="28"/>
          <w:szCs w:val="28"/>
          <w:lang w:val="uk-UA"/>
        </w:rPr>
      </w:pPr>
    </w:p>
    <w:p w:rsidR="00A8190B" w:rsidRPr="00820A21" w:rsidRDefault="00A8190B" w:rsidP="00A8190B">
      <w:pPr>
        <w:ind w:firstLine="567"/>
        <w:jc w:val="both"/>
        <w:rPr>
          <w:color w:val="FF0000"/>
          <w:sz w:val="28"/>
          <w:szCs w:val="28"/>
          <w:lang w:val="uk-UA"/>
        </w:rPr>
      </w:pPr>
      <w:r>
        <w:rPr>
          <w:noProof/>
          <w:color w:val="FF0000"/>
        </w:rPr>
        <w:drawing>
          <wp:inline distT="0" distB="0" distL="0" distR="0">
            <wp:extent cx="6170295" cy="2366645"/>
            <wp:effectExtent l="0" t="0" r="0" b="0"/>
            <wp:docPr id="60" name="Диаграмма 6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A8190B" w:rsidRDefault="00A8190B" w:rsidP="00A8190B">
      <w:pPr>
        <w:ind w:firstLine="567"/>
        <w:jc w:val="both"/>
        <w:rPr>
          <w:b/>
          <w:bCs/>
          <w:color w:val="000000" w:themeColor="text1"/>
          <w:sz w:val="28"/>
          <w:szCs w:val="28"/>
          <w:lang w:val="uk-UA"/>
        </w:rPr>
      </w:pPr>
    </w:p>
    <w:p w:rsidR="00A8190B" w:rsidRPr="002F6210" w:rsidRDefault="00A8190B" w:rsidP="00A8190B">
      <w:pPr>
        <w:ind w:firstLine="567"/>
        <w:jc w:val="both"/>
        <w:rPr>
          <w:b/>
          <w:bCs/>
          <w:color w:val="000000" w:themeColor="text1"/>
          <w:sz w:val="28"/>
          <w:szCs w:val="28"/>
          <w:lang w:val="uk-UA"/>
        </w:rPr>
      </w:pPr>
      <w:r w:rsidRPr="002F6210">
        <w:rPr>
          <w:b/>
          <w:bCs/>
          <w:color w:val="000000" w:themeColor="text1"/>
          <w:sz w:val="28"/>
          <w:szCs w:val="28"/>
          <w:lang w:val="uk-UA"/>
        </w:rPr>
        <w:t>Код 22010000 «Плата за надання адміністративних послуг»</w:t>
      </w:r>
    </w:p>
    <w:p w:rsidR="00A8190B" w:rsidRPr="002F6210" w:rsidRDefault="00A8190B" w:rsidP="00A8190B">
      <w:pPr>
        <w:ind w:firstLine="567"/>
        <w:jc w:val="both"/>
        <w:rPr>
          <w:b/>
          <w:bCs/>
          <w:color w:val="000000" w:themeColor="text1"/>
          <w:sz w:val="28"/>
          <w:szCs w:val="28"/>
          <w:lang w:val="uk-UA"/>
        </w:rPr>
      </w:pPr>
    </w:p>
    <w:p w:rsidR="00A8190B" w:rsidRPr="002F6210" w:rsidRDefault="00A8190B" w:rsidP="00A8190B">
      <w:pPr>
        <w:ind w:firstLine="567"/>
        <w:jc w:val="both"/>
        <w:rPr>
          <w:color w:val="000000" w:themeColor="text1"/>
          <w:sz w:val="28"/>
          <w:szCs w:val="28"/>
          <w:lang w:val="uk-UA"/>
        </w:rPr>
      </w:pPr>
      <w:r w:rsidRPr="002F6210">
        <w:rPr>
          <w:color w:val="000000" w:themeColor="text1"/>
          <w:sz w:val="28"/>
          <w:szCs w:val="28"/>
          <w:lang w:val="uk-UA"/>
        </w:rPr>
        <w:t xml:space="preserve">Прогнозна сума надходження від надання адміністративних послуг до міського бюджету на 2022 рік становить </w:t>
      </w:r>
      <w:r w:rsidRPr="002F6210">
        <w:rPr>
          <w:b/>
          <w:bCs/>
          <w:color w:val="000000" w:themeColor="text1"/>
          <w:sz w:val="28"/>
          <w:szCs w:val="28"/>
          <w:lang w:val="uk-UA"/>
        </w:rPr>
        <w:t xml:space="preserve">1 237,0 тис.грн. </w:t>
      </w:r>
      <w:r w:rsidRPr="002F6210">
        <w:rPr>
          <w:color w:val="000000" w:themeColor="text1"/>
          <w:sz w:val="28"/>
          <w:szCs w:val="28"/>
          <w:lang w:val="uk-UA"/>
        </w:rPr>
        <w:t>(згідно даних Центру надання адміністративних послуг,та</w:t>
      </w:r>
      <w:r>
        <w:rPr>
          <w:color w:val="000000" w:themeColor="text1"/>
          <w:sz w:val="28"/>
          <w:szCs w:val="28"/>
          <w:lang w:val="uk-UA"/>
        </w:rPr>
        <w:t>очікуваних</w:t>
      </w:r>
      <w:r w:rsidRPr="002F6210">
        <w:rPr>
          <w:color w:val="000000" w:themeColor="text1"/>
          <w:sz w:val="28"/>
          <w:szCs w:val="28"/>
          <w:lang w:val="uk-UA"/>
        </w:rPr>
        <w:t xml:space="preserve"> надходжень за 2021 рік коштів згідно наказу ДМС України).</w:t>
      </w:r>
    </w:p>
    <w:p w:rsidR="00A8190B" w:rsidRPr="002F6210" w:rsidRDefault="00A8190B" w:rsidP="00A8190B">
      <w:pPr>
        <w:ind w:firstLine="567"/>
        <w:jc w:val="both"/>
        <w:rPr>
          <w:b/>
          <w:bCs/>
          <w:color w:val="000000" w:themeColor="text1"/>
          <w:sz w:val="28"/>
          <w:szCs w:val="28"/>
          <w:lang w:val="uk-UA"/>
        </w:rPr>
      </w:pPr>
    </w:p>
    <w:p w:rsidR="00A8190B" w:rsidRPr="00FF336F" w:rsidRDefault="00A8190B" w:rsidP="00A8190B">
      <w:pPr>
        <w:ind w:firstLine="567"/>
        <w:jc w:val="both"/>
        <w:rPr>
          <w:b/>
          <w:bCs/>
          <w:color w:val="000000" w:themeColor="text1"/>
          <w:sz w:val="28"/>
          <w:szCs w:val="28"/>
          <w:lang w:val="uk-UA"/>
        </w:rPr>
      </w:pPr>
      <w:r w:rsidRPr="00FF336F">
        <w:rPr>
          <w:b/>
          <w:bCs/>
          <w:color w:val="000000" w:themeColor="text1"/>
          <w:sz w:val="28"/>
          <w:szCs w:val="28"/>
          <w:lang w:val="uk-UA"/>
        </w:rPr>
        <w:t>Код 22080400 «Надходження від орендної плати за користування цілісним майновим комплексом та іншим майном, що перебуває у комунальній власності».</w:t>
      </w:r>
    </w:p>
    <w:p w:rsidR="00A8190B" w:rsidRPr="00FF336F" w:rsidRDefault="00A8190B" w:rsidP="00A8190B">
      <w:pPr>
        <w:ind w:firstLine="567"/>
        <w:jc w:val="both"/>
        <w:rPr>
          <w:color w:val="000000" w:themeColor="text1"/>
          <w:sz w:val="28"/>
          <w:szCs w:val="28"/>
          <w:lang w:val="uk-UA"/>
        </w:rPr>
      </w:pPr>
    </w:p>
    <w:p w:rsidR="00A8190B" w:rsidRPr="00FF336F" w:rsidRDefault="00A8190B" w:rsidP="00A8190B">
      <w:pPr>
        <w:ind w:firstLine="567"/>
        <w:jc w:val="both"/>
        <w:rPr>
          <w:color w:val="000000" w:themeColor="text1"/>
          <w:sz w:val="28"/>
          <w:szCs w:val="28"/>
          <w:lang w:val="uk-UA"/>
        </w:rPr>
      </w:pPr>
      <w:r w:rsidRPr="00FF336F">
        <w:rPr>
          <w:color w:val="000000" w:themeColor="text1"/>
          <w:sz w:val="28"/>
          <w:szCs w:val="28"/>
          <w:lang w:val="uk-UA"/>
        </w:rPr>
        <w:t xml:space="preserve">Прогнозна сума надходження від оренди цілісного майнового комплексу до міського бюджету на 2022 рік становить </w:t>
      </w:r>
      <w:r w:rsidRPr="00FF336F">
        <w:rPr>
          <w:b/>
          <w:bCs/>
          <w:color w:val="000000" w:themeColor="text1"/>
          <w:sz w:val="28"/>
          <w:szCs w:val="28"/>
          <w:lang w:val="uk-UA"/>
        </w:rPr>
        <w:t xml:space="preserve">700,9 тис.грн. </w:t>
      </w:r>
      <w:r w:rsidRPr="00FF336F">
        <w:rPr>
          <w:color w:val="000000" w:themeColor="text1"/>
          <w:sz w:val="28"/>
          <w:szCs w:val="28"/>
          <w:lang w:val="uk-UA"/>
        </w:rPr>
        <w:t>(згідно даних відділу еко</w:t>
      </w:r>
      <w:r>
        <w:rPr>
          <w:color w:val="000000" w:themeColor="text1"/>
          <w:sz w:val="28"/>
          <w:szCs w:val="28"/>
          <w:lang w:val="uk-UA"/>
        </w:rPr>
        <w:t>номічного розвитку, транспорту,</w:t>
      </w:r>
      <w:r w:rsidRPr="00FF336F">
        <w:rPr>
          <w:color w:val="000000" w:themeColor="text1"/>
          <w:sz w:val="28"/>
          <w:szCs w:val="28"/>
          <w:lang w:val="uk-UA"/>
        </w:rPr>
        <w:t xml:space="preserve"> інвестицій та комунальної власності Олевської міської ради та очікуваних надходжень </w:t>
      </w:r>
      <w:r>
        <w:rPr>
          <w:color w:val="000000" w:themeColor="text1"/>
          <w:sz w:val="28"/>
          <w:szCs w:val="28"/>
          <w:lang w:val="uk-UA"/>
        </w:rPr>
        <w:t>за</w:t>
      </w:r>
      <w:r w:rsidRPr="00FF336F">
        <w:rPr>
          <w:color w:val="000000" w:themeColor="text1"/>
          <w:sz w:val="28"/>
          <w:szCs w:val="28"/>
          <w:lang w:val="uk-UA"/>
        </w:rPr>
        <w:t xml:space="preserve"> 2021 рік).</w:t>
      </w:r>
    </w:p>
    <w:p w:rsidR="00A8190B" w:rsidRPr="00FF336F" w:rsidRDefault="00A8190B" w:rsidP="00A8190B">
      <w:pPr>
        <w:ind w:firstLine="567"/>
        <w:jc w:val="both"/>
        <w:rPr>
          <w:b/>
          <w:bCs/>
          <w:color w:val="000000" w:themeColor="text1"/>
          <w:sz w:val="28"/>
          <w:szCs w:val="28"/>
          <w:lang w:val="uk-UA"/>
        </w:rPr>
      </w:pPr>
      <w:r w:rsidRPr="00FF336F">
        <w:rPr>
          <w:b/>
          <w:bCs/>
          <w:color w:val="000000" w:themeColor="text1"/>
          <w:sz w:val="28"/>
          <w:szCs w:val="28"/>
          <w:lang w:val="uk-UA"/>
        </w:rPr>
        <w:lastRenderedPageBreak/>
        <w:t>Код 22090000 «Державне мито»</w:t>
      </w:r>
    </w:p>
    <w:p w:rsidR="00A8190B" w:rsidRPr="00FF336F" w:rsidRDefault="00A8190B" w:rsidP="00A8190B">
      <w:pPr>
        <w:ind w:firstLine="567"/>
        <w:jc w:val="both"/>
        <w:rPr>
          <w:color w:val="000000" w:themeColor="text1"/>
          <w:sz w:val="28"/>
          <w:szCs w:val="28"/>
          <w:lang w:val="uk-UA"/>
        </w:rPr>
      </w:pPr>
    </w:p>
    <w:p w:rsidR="00A8190B" w:rsidRPr="00FF336F" w:rsidRDefault="00A8190B" w:rsidP="00A8190B">
      <w:pPr>
        <w:ind w:firstLine="567"/>
        <w:jc w:val="both"/>
        <w:rPr>
          <w:color w:val="000000" w:themeColor="text1"/>
          <w:sz w:val="28"/>
          <w:szCs w:val="28"/>
          <w:lang w:val="uk-UA"/>
        </w:rPr>
      </w:pPr>
      <w:r w:rsidRPr="00FF336F">
        <w:rPr>
          <w:color w:val="000000" w:themeColor="text1"/>
          <w:sz w:val="28"/>
          <w:szCs w:val="28"/>
          <w:lang w:val="uk-UA"/>
        </w:rPr>
        <w:t xml:space="preserve">Прогнозна сума надходження від державного мита до міського бюджету на 2022 рік становить </w:t>
      </w:r>
      <w:r w:rsidRPr="00FF336F">
        <w:rPr>
          <w:b/>
          <w:bCs/>
          <w:color w:val="000000" w:themeColor="text1"/>
          <w:sz w:val="28"/>
          <w:szCs w:val="28"/>
          <w:lang w:val="uk-UA"/>
        </w:rPr>
        <w:t xml:space="preserve">22,8 тис.грн. </w:t>
      </w:r>
      <w:r w:rsidRPr="00FF336F">
        <w:rPr>
          <w:color w:val="000000" w:themeColor="text1"/>
          <w:sz w:val="28"/>
          <w:szCs w:val="28"/>
          <w:lang w:val="uk-UA"/>
        </w:rPr>
        <w:t>(визначений на рівні очікуваних надходжень за 2021 рік за рахунок надходжень від сплати за оформлення документів на спадщину та дарування та державного мита пов’язаного з видачею та оформленням закордонних паспортів (посвідок) та паспортів громадянина України).</w:t>
      </w:r>
    </w:p>
    <w:p w:rsidR="00A8190B" w:rsidRPr="00820A21" w:rsidRDefault="00A8190B" w:rsidP="00A8190B">
      <w:pPr>
        <w:ind w:firstLine="567"/>
        <w:jc w:val="both"/>
        <w:rPr>
          <w:color w:val="FF0000"/>
          <w:sz w:val="28"/>
          <w:szCs w:val="28"/>
          <w:highlight w:val="yellow"/>
          <w:lang w:val="uk-UA"/>
        </w:rPr>
      </w:pPr>
    </w:p>
    <w:p w:rsidR="00A8190B" w:rsidRPr="00CC6458" w:rsidRDefault="00A8190B" w:rsidP="00A8190B">
      <w:pPr>
        <w:ind w:firstLine="567"/>
        <w:jc w:val="both"/>
        <w:rPr>
          <w:b/>
          <w:bCs/>
          <w:color w:val="000000" w:themeColor="text1"/>
          <w:sz w:val="28"/>
          <w:szCs w:val="28"/>
          <w:lang w:val="uk-UA"/>
        </w:rPr>
      </w:pPr>
      <w:r w:rsidRPr="00CC6458">
        <w:rPr>
          <w:b/>
          <w:bCs/>
          <w:color w:val="000000" w:themeColor="text1"/>
          <w:sz w:val="28"/>
          <w:szCs w:val="28"/>
          <w:lang w:val="uk-UA"/>
        </w:rPr>
        <w:t>Код 24060300 «Інші надходження»</w:t>
      </w:r>
    </w:p>
    <w:p w:rsidR="00A8190B" w:rsidRPr="00CC6458" w:rsidRDefault="00A8190B" w:rsidP="00A8190B">
      <w:pPr>
        <w:ind w:firstLine="567"/>
        <w:jc w:val="both"/>
        <w:rPr>
          <w:color w:val="000000" w:themeColor="text1"/>
          <w:sz w:val="28"/>
          <w:szCs w:val="28"/>
          <w:lang w:val="uk-UA"/>
        </w:rPr>
      </w:pPr>
    </w:p>
    <w:p w:rsidR="00A8190B" w:rsidRPr="00CC6458" w:rsidRDefault="00A8190B" w:rsidP="00A8190B">
      <w:pPr>
        <w:ind w:firstLine="567"/>
        <w:jc w:val="both"/>
        <w:rPr>
          <w:color w:val="000000" w:themeColor="text1"/>
          <w:sz w:val="28"/>
          <w:szCs w:val="28"/>
          <w:lang w:val="uk-UA"/>
        </w:rPr>
      </w:pPr>
      <w:r w:rsidRPr="00CC6458">
        <w:rPr>
          <w:color w:val="000000" w:themeColor="text1"/>
          <w:sz w:val="28"/>
          <w:szCs w:val="28"/>
          <w:lang w:val="uk-UA"/>
        </w:rPr>
        <w:t xml:space="preserve">Прогнозна сума надходжень до міського бюджету на 2022 рік становить </w:t>
      </w:r>
      <w:r w:rsidRPr="00CC6458">
        <w:rPr>
          <w:b/>
          <w:bCs/>
          <w:color w:val="000000" w:themeColor="text1"/>
          <w:sz w:val="28"/>
          <w:szCs w:val="28"/>
          <w:lang w:val="uk-UA"/>
        </w:rPr>
        <w:t xml:space="preserve">39,0 тис.грн. </w:t>
      </w:r>
      <w:r w:rsidRPr="00CC6458">
        <w:rPr>
          <w:color w:val="000000" w:themeColor="text1"/>
          <w:sz w:val="28"/>
          <w:szCs w:val="28"/>
          <w:lang w:val="uk-UA"/>
        </w:rPr>
        <w:t>(визначений на рівні очікуваних надходжень за 2021 рік та наявних заключних договорів на  розміщення реклами за даними відділу еко</w:t>
      </w:r>
      <w:r>
        <w:rPr>
          <w:color w:val="000000" w:themeColor="text1"/>
          <w:sz w:val="28"/>
          <w:szCs w:val="28"/>
          <w:lang w:val="uk-UA"/>
        </w:rPr>
        <w:t>номічного розвитку, транспорту,</w:t>
      </w:r>
      <w:r w:rsidRPr="00CC6458">
        <w:rPr>
          <w:color w:val="000000" w:themeColor="text1"/>
          <w:sz w:val="28"/>
          <w:szCs w:val="28"/>
          <w:lang w:val="uk-UA"/>
        </w:rPr>
        <w:t xml:space="preserve"> інвестицій та комунальної власності Олевської міської ради).</w:t>
      </w:r>
    </w:p>
    <w:p w:rsidR="00A8190B" w:rsidRPr="00820A21" w:rsidRDefault="00A8190B" w:rsidP="00A8190B">
      <w:pPr>
        <w:ind w:firstLine="567"/>
        <w:jc w:val="both"/>
        <w:rPr>
          <w:b/>
          <w:bCs/>
          <w:color w:val="FF0000"/>
          <w:sz w:val="28"/>
          <w:szCs w:val="28"/>
          <w:lang w:val="uk-UA"/>
        </w:rPr>
      </w:pPr>
    </w:p>
    <w:p w:rsidR="00A8190B" w:rsidRPr="009B1F35" w:rsidRDefault="00A8190B" w:rsidP="00A8190B">
      <w:pPr>
        <w:ind w:firstLine="567"/>
        <w:jc w:val="both"/>
        <w:rPr>
          <w:b/>
          <w:bCs/>
          <w:color w:val="000000" w:themeColor="text1"/>
          <w:sz w:val="28"/>
          <w:szCs w:val="28"/>
          <w:lang w:val="uk-UA"/>
        </w:rPr>
      </w:pPr>
      <w:r w:rsidRPr="009B1F35">
        <w:rPr>
          <w:b/>
          <w:bCs/>
          <w:color w:val="000000" w:themeColor="text1"/>
          <w:sz w:val="28"/>
          <w:szCs w:val="28"/>
          <w:lang w:val="uk-UA"/>
        </w:rPr>
        <w:t>Код 41020100 «Базова дотація»</w:t>
      </w:r>
    </w:p>
    <w:p w:rsidR="00A8190B" w:rsidRPr="009B1F35" w:rsidRDefault="00A8190B" w:rsidP="00A8190B">
      <w:pPr>
        <w:ind w:firstLine="567"/>
        <w:jc w:val="both"/>
        <w:rPr>
          <w:color w:val="000000" w:themeColor="text1"/>
          <w:sz w:val="28"/>
          <w:szCs w:val="28"/>
          <w:highlight w:val="yellow"/>
          <w:lang w:val="uk-UA"/>
        </w:rPr>
      </w:pPr>
    </w:p>
    <w:p w:rsidR="00A8190B" w:rsidRPr="009B1F35" w:rsidRDefault="00A8190B" w:rsidP="00A8190B">
      <w:pPr>
        <w:ind w:firstLine="567"/>
        <w:jc w:val="both"/>
        <w:rPr>
          <w:color w:val="000000" w:themeColor="text1"/>
          <w:sz w:val="28"/>
          <w:szCs w:val="28"/>
          <w:lang w:val="uk-UA"/>
        </w:rPr>
      </w:pPr>
      <w:r w:rsidRPr="009B1F35">
        <w:rPr>
          <w:color w:val="000000" w:themeColor="text1"/>
          <w:sz w:val="28"/>
          <w:szCs w:val="28"/>
          <w:lang w:val="uk-UA"/>
        </w:rPr>
        <w:t>Сума надходжень до міського бюджету на 202</w:t>
      </w:r>
      <w:r w:rsidRPr="009B1F35">
        <w:rPr>
          <w:color w:val="000000" w:themeColor="text1"/>
          <w:sz w:val="28"/>
          <w:szCs w:val="28"/>
        </w:rPr>
        <w:t>2</w:t>
      </w:r>
      <w:r w:rsidRPr="009B1F35">
        <w:rPr>
          <w:color w:val="000000" w:themeColor="text1"/>
          <w:sz w:val="28"/>
          <w:szCs w:val="28"/>
          <w:lang w:val="uk-UA"/>
        </w:rPr>
        <w:t xml:space="preserve"> рік становить </w:t>
      </w:r>
      <w:r>
        <w:rPr>
          <w:b/>
          <w:bCs/>
          <w:color w:val="000000" w:themeColor="text1"/>
          <w:sz w:val="28"/>
          <w:szCs w:val="28"/>
          <w:lang w:val="uk-UA"/>
        </w:rPr>
        <w:t xml:space="preserve">38406,4 </w:t>
      </w:r>
      <w:r w:rsidRPr="00AC2381">
        <w:rPr>
          <w:b/>
          <w:bCs/>
          <w:color w:val="000000" w:themeColor="text1"/>
          <w:sz w:val="28"/>
          <w:szCs w:val="28"/>
          <w:lang w:val="uk-UA"/>
        </w:rPr>
        <w:t>тис.грн.</w:t>
      </w:r>
      <w:r w:rsidRPr="009B1F35">
        <w:rPr>
          <w:color w:val="000000" w:themeColor="text1"/>
          <w:sz w:val="28"/>
          <w:szCs w:val="28"/>
          <w:lang w:val="uk-UA"/>
        </w:rPr>
        <w:t>(доведені показники Мінфіном).</w:t>
      </w:r>
    </w:p>
    <w:p w:rsidR="00A8190B" w:rsidRPr="009B1F35" w:rsidRDefault="00A8190B" w:rsidP="00A8190B">
      <w:pPr>
        <w:ind w:firstLine="567"/>
        <w:jc w:val="both"/>
        <w:rPr>
          <w:color w:val="000000" w:themeColor="text1"/>
          <w:sz w:val="28"/>
          <w:szCs w:val="28"/>
          <w:lang w:val="uk-UA"/>
        </w:rPr>
      </w:pPr>
    </w:p>
    <w:p w:rsidR="00A8190B" w:rsidRPr="009B1F35" w:rsidRDefault="00A8190B" w:rsidP="00A8190B">
      <w:pPr>
        <w:ind w:firstLine="567"/>
        <w:jc w:val="both"/>
        <w:rPr>
          <w:b/>
          <w:bCs/>
          <w:color w:val="000000" w:themeColor="text1"/>
          <w:sz w:val="28"/>
          <w:szCs w:val="28"/>
          <w:lang w:val="uk-UA"/>
        </w:rPr>
      </w:pPr>
      <w:r w:rsidRPr="009B1F35">
        <w:rPr>
          <w:b/>
          <w:bCs/>
          <w:color w:val="000000" w:themeColor="text1"/>
          <w:sz w:val="28"/>
          <w:szCs w:val="28"/>
          <w:lang w:val="uk-UA"/>
        </w:rPr>
        <w:t>Код 41033900 «Освітня субвенція з державного бюджету місцевим бюджетам»</w:t>
      </w:r>
    </w:p>
    <w:p w:rsidR="00A8190B" w:rsidRPr="009B1F35" w:rsidRDefault="00A8190B" w:rsidP="00A8190B">
      <w:pPr>
        <w:ind w:firstLine="567"/>
        <w:jc w:val="both"/>
        <w:rPr>
          <w:color w:val="000000" w:themeColor="text1"/>
          <w:sz w:val="28"/>
          <w:szCs w:val="28"/>
          <w:lang w:val="uk-UA"/>
        </w:rPr>
      </w:pPr>
    </w:p>
    <w:p w:rsidR="00A8190B" w:rsidRPr="009B1F35" w:rsidRDefault="00A8190B" w:rsidP="00A8190B">
      <w:pPr>
        <w:ind w:firstLine="567"/>
        <w:jc w:val="both"/>
        <w:rPr>
          <w:color w:val="000000" w:themeColor="text1"/>
          <w:sz w:val="28"/>
          <w:szCs w:val="28"/>
          <w:lang w:val="uk-UA"/>
        </w:rPr>
      </w:pPr>
      <w:r w:rsidRPr="009B1F35">
        <w:rPr>
          <w:color w:val="000000" w:themeColor="text1"/>
          <w:sz w:val="28"/>
          <w:szCs w:val="28"/>
          <w:lang w:val="uk-UA"/>
        </w:rPr>
        <w:t xml:space="preserve">Сума надходжень до міського бюджету на 2022 рік становить </w:t>
      </w:r>
      <w:r>
        <w:rPr>
          <w:b/>
          <w:color w:val="000000" w:themeColor="text1"/>
          <w:sz w:val="28"/>
          <w:szCs w:val="28"/>
          <w:lang w:val="uk-UA"/>
        </w:rPr>
        <w:t xml:space="preserve">160555,4 </w:t>
      </w:r>
      <w:r w:rsidRPr="009B1F35">
        <w:rPr>
          <w:b/>
          <w:bCs/>
          <w:color w:val="000000" w:themeColor="text1"/>
          <w:sz w:val="28"/>
          <w:szCs w:val="28"/>
          <w:lang w:val="uk-UA"/>
        </w:rPr>
        <w:t xml:space="preserve">тис.грн. </w:t>
      </w:r>
      <w:r w:rsidRPr="009B1F35">
        <w:rPr>
          <w:color w:val="000000" w:themeColor="text1"/>
          <w:sz w:val="28"/>
          <w:szCs w:val="28"/>
          <w:lang w:val="uk-UA"/>
        </w:rPr>
        <w:t>(доведені показники Мінфіном).</w:t>
      </w:r>
    </w:p>
    <w:p w:rsidR="00A8190B" w:rsidRPr="009B1F35" w:rsidRDefault="00A8190B" w:rsidP="00A8190B">
      <w:pPr>
        <w:jc w:val="both"/>
        <w:rPr>
          <w:color w:val="000000" w:themeColor="text1"/>
          <w:sz w:val="28"/>
          <w:szCs w:val="28"/>
          <w:lang w:val="uk-UA"/>
        </w:rPr>
      </w:pPr>
    </w:p>
    <w:p w:rsidR="00A8190B" w:rsidRPr="009B1F35" w:rsidRDefault="00A8190B" w:rsidP="00A8190B">
      <w:pPr>
        <w:ind w:firstLine="567"/>
        <w:jc w:val="both"/>
        <w:rPr>
          <w:b/>
          <w:color w:val="000000" w:themeColor="text1"/>
          <w:sz w:val="28"/>
          <w:szCs w:val="28"/>
          <w:lang w:val="uk-UA"/>
        </w:rPr>
      </w:pPr>
      <w:r w:rsidRPr="009B1F35">
        <w:rPr>
          <w:b/>
          <w:color w:val="000000" w:themeColor="text1"/>
          <w:sz w:val="28"/>
          <w:szCs w:val="28"/>
          <w:lang w:val="uk-UA"/>
        </w:rPr>
        <w:t>Код 41051000 «Субвенція з місцевого бюджету на здійснення переданих видатків у сфері освіти за рахунок коштів освітньої субвенції»</w:t>
      </w:r>
    </w:p>
    <w:p w:rsidR="00A8190B" w:rsidRPr="009B1F35" w:rsidRDefault="00A8190B" w:rsidP="00A8190B">
      <w:pPr>
        <w:ind w:firstLine="567"/>
        <w:jc w:val="both"/>
        <w:rPr>
          <w:color w:val="000000" w:themeColor="text1"/>
          <w:sz w:val="28"/>
          <w:szCs w:val="28"/>
          <w:lang w:val="uk-UA"/>
        </w:rPr>
      </w:pPr>
    </w:p>
    <w:p w:rsidR="00A8190B" w:rsidRDefault="00A8190B" w:rsidP="00A8190B">
      <w:pPr>
        <w:ind w:firstLine="567"/>
        <w:jc w:val="both"/>
        <w:rPr>
          <w:color w:val="000000" w:themeColor="text1"/>
          <w:sz w:val="28"/>
          <w:szCs w:val="28"/>
          <w:lang w:val="uk-UA"/>
        </w:rPr>
      </w:pPr>
      <w:r w:rsidRPr="009B1F35">
        <w:rPr>
          <w:color w:val="000000" w:themeColor="text1"/>
          <w:sz w:val="28"/>
          <w:szCs w:val="28"/>
          <w:lang w:val="uk-UA"/>
        </w:rPr>
        <w:t xml:space="preserve">Сума надходжень до міського бюджету на 2022 рік становить </w:t>
      </w:r>
      <w:r>
        <w:rPr>
          <w:b/>
          <w:color w:val="000000" w:themeColor="text1"/>
          <w:sz w:val="28"/>
          <w:szCs w:val="28"/>
          <w:lang w:val="uk-UA"/>
        </w:rPr>
        <w:t>378,4</w:t>
      </w:r>
      <w:r w:rsidRPr="00361DA1">
        <w:rPr>
          <w:b/>
          <w:color w:val="000000" w:themeColor="text1"/>
          <w:sz w:val="28"/>
          <w:szCs w:val="28"/>
          <w:lang w:val="uk-UA"/>
        </w:rPr>
        <w:t>тис.грн.</w:t>
      </w:r>
      <w:r w:rsidRPr="009B1F35">
        <w:rPr>
          <w:color w:val="000000" w:themeColor="text1"/>
          <w:sz w:val="28"/>
          <w:szCs w:val="28"/>
          <w:lang w:val="uk-UA"/>
        </w:rPr>
        <w:t xml:space="preserve"> (доведені показники департаментом фінансів Житомирської ОДА).</w:t>
      </w:r>
    </w:p>
    <w:p w:rsidR="00A8190B" w:rsidRPr="00A8190B" w:rsidRDefault="00A8190B" w:rsidP="00A8190B">
      <w:pPr>
        <w:ind w:firstLine="567"/>
        <w:jc w:val="both"/>
        <w:rPr>
          <w:b/>
          <w:color w:val="000000" w:themeColor="text1"/>
          <w:sz w:val="28"/>
          <w:szCs w:val="28"/>
        </w:rPr>
      </w:pPr>
    </w:p>
    <w:p w:rsidR="00A8190B" w:rsidRDefault="00A8190B" w:rsidP="00A8190B">
      <w:pPr>
        <w:ind w:firstLine="567"/>
        <w:jc w:val="both"/>
        <w:rPr>
          <w:b/>
          <w:color w:val="000000" w:themeColor="text1"/>
          <w:sz w:val="28"/>
          <w:szCs w:val="28"/>
          <w:lang w:val="uk-UA"/>
        </w:rPr>
      </w:pPr>
      <w:r w:rsidRPr="00583039">
        <w:rPr>
          <w:b/>
          <w:color w:val="000000" w:themeColor="text1"/>
          <w:sz w:val="28"/>
          <w:szCs w:val="28"/>
          <w:lang w:val="uk-UA"/>
        </w:rPr>
        <w:t>Код 41051200 «Субвенція з місцевого бюджету на надання державної підтримки особам з особливими освітніми потребами за рахунок відповідної субвенції з державного бюджету»</w:t>
      </w:r>
    </w:p>
    <w:p w:rsidR="00A8190B" w:rsidRDefault="00A8190B" w:rsidP="00A8190B">
      <w:pPr>
        <w:ind w:firstLine="567"/>
        <w:jc w:val="both"/>
        <w:rPr>
          <w:b/>
          <w:color w:val="000000" w:themeColor="text1"/>
          <w:sz w:val="28"/>
          <w:szCs w:val="28"/>
          <w:lang w:val="uk-UA"/>
        </w:rPr>
      </w:pPr>
    </w:p>
    <w:p w:rsidR="00A8190B" w:rsidRDefault="00A8190B" w:rsidP="00A8190B">
      <w:pPr>
        <w:ind w:firstLine="567"/>
        <w:jc w:val="both"/>
        <w:rPr>
          <w:color w:val="000000" w:themeColor="text1"/>
          <w:sz w:val="28"/>
          <w:szCs w:val="28"/>
          <w:lang w:val="uk-UA"/>
        </w:rPr>
      </w:pPr>
      <w:r w:rsidRPr="009B1F35">
        <w:rPr>
          <w:color w:val="000000" w:themeColor="text1"/>
          <w:sz w:val="28"/>
          <w:szCs w:val="28"/>
          <w:lang w:val="uk-UA"/>
        </w:rPr>
        <w:t xml:space="preserve">Сума надходжень до міського бюджету на 2022 рік становить </w:t>
      </w:r>
      <w:r>
        <w:rPr>
          <w:b/>
          <w:color w:val="000000" w:themeColor="text1"/>
          <w:sz w:val="28"/>
          <w:szCs w:val="28"/>
          <w:lang w:val="uk-UA"/>
        </w:rPr>
        <w:t>968,</w:t>
      </w:r>
      <w:r w:rsidRPr="006B7523">
        <w:rPr>
          <w:b/>
          <w:color w:val="000000" w:themeColor="text1"/>
          <w:sz w:val="28"/>
          <w:szCs w:val="28"/>
        </w:rPr>
        <w:t>5</w:t>
      </w:r>
      <w:r w:rsidR="00F8297C">
        <w:rPr>
          <w:b/>
          <w:color w:val="000000" w:themeColor="text1"/>
          <w:sz w:val="28"/>
          <w:szCs w:val="28"/>
        </w:rPr>
        <w:t xml:space="preserve"> </w:t>
      </w:r>
      <w:r w:rsidRPr="00361DA1">
        <w:rPr>
          <w:b/>
          <w:color w:val="000000" w:themeColor="text1"/>
          <w:sz w:val="28"/>
          <w:szCs w:val="28"/>
          <w:lang w:val="uk-UA"/>
        </w:rPr>
        <w:t>тис.грн.</w:t>
      </w:r>
      <w:r w:rsidRPr="009B1F35">
        <w:rPr>
          <w:color w:val="000000" w:themeColor="text1"/>
          <w:sz w:val="28"/>
          <w:szCs w:val="28"/>
          <w:lang w:val="uk-UA"/>
        </w:rPr>
        <w:t xml:space="preserve"> (доведені показники департаментом фінансів Житомирської ОДА).</w:t>
      </w:r>
    </w:p>
    <w:p w:rsidR="00A8190B" w:rsidRPr="00820A21" w:rsidRDefault="00A8190B" w:rsidP="00A8190B">
      <w:pPr>
        <w:jc w:val="both"/>
        <w:rPr>
          <w:color w:val="FF0000"/>
          <w:sz w:val="28"/>
          <w:szCs w:val="28"/>
          <w:lang w:val="uk-UA"/>
        </w:rPr>
      </w:pPr>
    </w:p>
    <w:p w:rsidR="00A8190B" w:rsidRPr="00174EAC" w:rsidRDefault="00A8190B" w:rsidP="00A8190B">
      <w:pPr>
        <w:ind w:firstLine="567"/>
        <w:jc w:val="both"/>
        <w:rPr>
          <w:b/>
          <w:color w:val="000000" w:themeColor="text1"/>
          <w:sz w:val="28"/>
          <w:szCs w:val="28"/>
          <w:lang w:val="uk-UA"/>
        </w:rPr>
      </w:pPr>
      <w:r w:rsidRPr="00174EAC">
        <w:rPr>
          <w:b/>
          <w:color w:val="000000" w:themeColor="text1"/>
          <w:sz w:val="28"/>
          <w:szCs w:val="28"/>
          <w:lang w:val="uk-UA"/>
        </w:rPr>
        <w:t>Код 41053900 «Інші субвенції»</w:t>
      </w:r>
    </w:p>
    <w:p w:rsidR="00A8190B" w:rsidRPr="00174EAC" w:rsidRDefault="00A8190B" w:rsidP="00A8190B">
      <w:pPr>
        <w:ind w:firstLine="567"/>
        <w:jc w:val="both"/>
        <w:rPr>
          <w:color w:val="000000" w:themeColor="text1"/>
          <w:sz w:val="28"/>
          <w:szCs w:val="28"/>
          <w:lang w:val="uk-UA"/>
        </w:rPr>
      </w:pPr>
    </w:p>
    <w:p w:rsidR="00A8190B" w:rsidRPr="00174EAC" w:rsidRDefault="00A8190B" w:rsidP="00A8190B">
      <w:pPr>
        <w:ind w:firstLine="567"/>
        <w:jc w:val="both"/>
        <w:rPr>
          <w:color w:val="000000" w:themeColor="text1"/>
          <w:sz w:val="28"/>
          <w:szCs w:val="28"/>
          <w:lang w:val="uk-UA"/>
        </w:rPr>
      </w:pPr>
      <w:r w:rsidRPr="00174EAC">
        <w:rPr>
          <w:color w:val="000000" w:themeColor="text1"/>
          <w:sz w:val="28"/>
          <w:szCs w:val="28"/>
          <w:lang w:val="uk-UA"/>
        </w:rPr>
        <w:t xml:space="preserve">Сума надходжень до міського бюджету на 2022 рік становить </w:t>
      </w:r>
      <w:r>
        <w:rPr>
          <w:b/>
          <w:color w:val="000000" w:themeColor="text1"/>
          <w:sz w:val="28"/>
          <w:szCs w:val="28"/>
          <w:lang w:val="uk-UA"/>
        </w:rPr>
        <w:t>1</w:t>
      </w:r>
      <w:r w:rsidR="00F8297C">
        <w:rPr>
          <w:b/>
          <w:color w:val="000000" w:themeColor="text1"/>
          <w:sz w:val="28"/>
          <w:szCs w:val="28"/>
          <w:lang w:val="uk-UA"/>
        </w:rPr>
        <w:t xml:space="preserve"> </w:t>
      </w:r>
      <w:r>
        <w:rPr>
          <w:b/>
          <w:color w:val="000000" w:themeColor="text1"/>
          <w:sz w:val="28"/>
          <w:szCs w:val="28"/>
          <w:lang w:val="uk-UA"/>
        </w:rPr>
        <w:t>865,</w:t>
      </w:r>
      <w:r w:rsidRPr="006B7523">
        <w:rPr>
          <w:b/>
          <w:color w:val="000000" w:themeColor="text1"/>
          <w:sz w:val="28"/>
          <w:szCs w:val="28"/>
          <w:lang w:val="uk-UA"/>
        </w:rPr>
        <w:t>0</w:t>
      </w:r>
      <w:r w:rsidR="00F8297C">
        <w:rPr>
          <w:b/>
          <w:color w:val="000000" w:themeColor="text1"/>
          <w:sz w:val="28"/>
          <w:szCs w:val="28"/>
          <w:lang w:val="uk-UA"/>
        </w:rPr>
        <w:t xml:space="preserve"> </w:t>
      </w:r>
      <w:r w:rsidRPr="00361DA1">
        <w:rPr>
          <w:b/>
          <w:color w:val="000000" w:themeColor="text1"/>
          <w:sz w:val="28"/>
          <w:szCs w:val="28"/>
          <w:lang w:val="uk-UA"/>
        </w:rPr>
        <w:t>тис.грн.</w:t>
      </w:r>
      <w:r w:rsidRPr="00174EAC">
        <w:rPr>
          <w:color w:val="000000" w:themeColor="text1"/>
          <w:sz w:val="28"/>
          <w:szCs w:val="28"/>
          <w:lang w:val="uk-UA"/>
        </w:rPr>
        <w:t xml:space="preserve"> (доведені показники департаментом фінансів Житомирської ОДА</w:t>
      </w:r>
      <w:r>
        <w:rPr>
          <w:color w:val="000000" w:themeColor="text1"/>
          <w:sz w:val="28"/>
          <w:szCs w:val="28"/>
          <w:lang w:val="uk-UA"/>
        </w:rPr>
        <w:t xml:space="preserve"> в сумі </w:t>
      </w:r>
      <w:r w:rsidRPr="00583039">
        <w:rPr>
          <w:b/>
          <w:color w:val="000000" w:themeColor="text1"/>
          <w:sz w:val="28"/>
          <w:szCs w:val="28"/>
          <w:lang w:val="uk-UA"/>
        </w:rPr>
        <w:t>1</w:t>
      </w:r>
      <w:r w:rsidR="00F8297C">
        <w:rPr>
          <w:b/>
          <w:color w:val="000000" w:themeColor="text1"/>
          <w:sz w:val="28"/>
          <w:szCs w:val="28"/>
          <w:lang w:val="uk-UA"/>
        </w:rPr>
        <w:t xml:space="preserve"> </w:t>
      </w:r>
      <w:r w:rsidRPr="00583039">
        <w:rPr>
          <w:b/>
          <w:color w:val="000000" w:themeColor="text1"/>
          <w:sz w:val="28"/>
          <w:szCs w:val="28"/>
          <w:lang w:val="uk-UA"/>
        </w:rPr>
        <w:t>163,7 тис</w:t>
      </w:r>
      <w:r w:rsidR="00F8297C">
        <w:rPr>
          <w:b/>
          <w:color w:val="000000" w:themeColor="text1"/>
          <w:sz w:val="28"/>
          <w:szCs w:val="28"/>
          <w:lang w:val="uk-UA"/>
        </w:rPr>
        <w:t xml:space="preserve">. </w:t>
      </w:r>
      <w:r w:rsidRPr="00583039">
        <w:rPr>
          <w:b/>
          <w:color w:val="000000" w:themeColor="text1"/>
          <w:sz w:val="28"/>
          <w:szCs w:val="28"/>
          <w:lang w:val="uk-UA"/>
        </w:rPr>
        <w:t>грн.</w:t>
      </w:r>
      <w:r>
        <w:rPr>
          <w:b/>
          <w:color w:val="000000" w:themeColor="text1"/>
          <w:sz w:val="28"/>
          <w:szCs w:val="28"/>
          <w:lang w:val="uk-UA"/>
        </w:rPr>
        <w:t>,</w:t>
      </w:r>
      <w:r>
        <w:rPr>
          <w:color w:val="000000" w:themeColor="text1"/>
          <w:sz w:val="28"/>
          <w:szCs w:val="28"/>
          <w:lang w:val="uk-UA"/>
        </w:rPr>
        <w:t xml:space="preserve"> в тому числі  </w:t>
      </w:r>
      <w:r w:rsidRPr="00174EAC">
        <w:rPr>
          <w:color w:val="000000" w:themeColor="text1"/>
          <w:sz w:val="28"/>
          <w:szCs w:val="28"/>
          <w:lang w:val="uk-UA"/>
        </w:rPr>
        <w:t xml:space="preserve">на пільгове медичне обслуговування громадян, які </w:t>
      </w:r>
      <w:r w:rsidRPr="00174EAC">
        <w:rPr>
          <w:color w:val="000000" w:themeColor="text1"/>
          <w:sz w:val="28"/>
          <w:szCs w:val="28"/>
          <w:lang w:val="uk-UA"/>
        </w:rPr>
        <w:lastRenderedPageBreak/>
        <w:t xml:space="preserve">постраждали внаслідок Чорнобильської катастрофи в сумі </w:t>
      </w:r>
      <w:r w:rsidRPr="00583039">
        <w:rPr>
          <w:color w:val="000000" w:themeColor="text1"/>
          <w:sz w:val="28"/>
          <w:szCs w:val="28"/>
          <w:lang w:val="uk-UA"/>
        </w:rPr>
        <w:t>837,7</w:t>
      </w:r>
      <w:r w:rsidR="00F8297C">
        <w:rPr>
          <w:color w:val="000000" w:themeColor="text1"/>
          <w:sz w:val="28"/>
          <w:szCs w:val="28"/>
          <w:lang w:val="uk-UA"/>
        </w:rPr>
        <w:t xml:space="preserve"> </w:t>
      </w:r>
      <w:r w:rsidRPr="00583039">
        <w:rPr>
          <w:color w:val="000000" w:themeColor="text1"/>
          <w:sz w:val="28"/>
          <w:szCs w:val="28"/>
          <w:lang w:val="uk-UA"/>
        </w:rPr>
        <w:t>тис</w:t>
      </w:r>
      <w:r w:rsidRPr="00174EAC">
        <w:rPr>
          <w:color w:val="000000" w:themeColor="text1"/>
          <w:sz w:val="28"/>
          <w:szCs w:val="28"/>
          <w:lang w:val="uk-UA"/>
        </w:rPr>
        <w:t>.грн.</w:t>
      </w:r>
      <w:r>
        <w:rPr>
          <w:color w:val="000000" w:themeColor="text1"/>
          <w:sz w:val="28"/>
          <w:szCs w:val="28"/>
          <w:lang w:val="uk-UA"/>
        </w:rPr>
        <w:t>, та проведення заходів з оздоровлення та відпочинку дітей, які постраждали внаслідок ЧАЕС у дитячих закладах оздоровлення санаторного типу Житомирської області в сумі 326,0 тис. грн.</w:t>
      </w:r>
      <w:r w:rsidRPr="00174EAC">
        <w:rPr>
          <w:color w:val="000000" w:themeColor="text1"/>
          <w:sz w:val="28"/>
          <w:szCs w:val="28"/>
          <w:lang w:val="uk-UA"/>
        </w:rPr>
        <w:t xml:space="preserve">; від Білокоровицької міської територіальної громади в сумі </w:t>
      </w:r>
      <w:r w:rsidRPr="00577B0B">
        <w:rPr>
          <w:b/>
          <w:color w:val="000000" w:themeColor="text1"/>
          <w:sz w:val="28"/>
          <w:szCs w:val="28"/>
          <w:lang w:val="uk-UA"/>
        </w:rPr>
        <w:t>701,3</w:t>
      </w:r>
      <w:r w:rsidR="00F8297C">
        <w:rPr>
          <w:b/>
          <w:color w:val="000000" w:themeColor="text1"/>
          <w:sz w:val="28"/>
          <w:szCs w:val="28"/>
          <w:lang w:val="uk-UA"/>
        </w:rPr>
        <w:t xml:space="preserve"> </w:t>
      </w:r>
      <w:r w:rsidRPr="00174EAC">
        <w:rPr>
          <w:color w:val="000000" w:themeColor="text1"/>
          <w:sz w:val="28"/>
          <w:szCs w:val="28"/>
          <w:lang w:val="uk-UA"/>
        </w:rPr>
        <w:t>тис.грн. (</w:t>
      </w:r>
      <w:r>
        <w:rPr>
          <w:color w:val="000000" w:themeColor="text1"/>
          <w:sz w:val="28"/>
          <w:szCs w:val="28"/>
          <w:lang w:val="uk-UA"/>
        </w:rPr>
        <w:t xml:space="preserve">у т.ч. </w:t>
      </w:r>
      <w:r w:rsidRPr="00174EAC">
        <w:rPr>
          <w:color w:val="000000" w:themeColor="text1"/>
          <w:sz w:val="28"/>
          <w:szCs w:val="28"/>
          <w:lang w:val="uk-UA"/>
        </w:rPr>
        <w:t>на утримання музичної школи 260,0 тис.грн</w:t>
      </w:r>
      <w:r>
        <w:rPr>
          <w:color w:val="000000" w:themeColor="text1"/>
          <w:sz w:val="28"/>
          <w:szCs w:val="28"/>
          <w:lang w:val="uk-UA"/>
        </w:rPr>
        <w:t>.</w:t>
      </w:r>
      <w:r w:rsidRPr="00174EAC">
        <w:rPr>
          <w:color w:val="000000" w:themeColor="text1"/>
          <w:sz w:val="28"/>
          <w:szCs w:val="28"/>
          <w:lang w:val="uk-UA"/>
        </w:rPr>
        <w:t xml:space="preserve">, на утримання КУ </w:t>
      </w:r>
      <w:r>
        <w:rPr>
          <w:color w:val="000000" w:themeColor="text1"/>
          <w:sz w:val="28"/>
          <w:szCs w:val="28"/>
          <w:lang w:val="uk-UA"/>
        </w:rPr>
        <w:t>«</w:t>
      </w:r>
      <w:r w:rsidRPr="00174EAC">
        <w:rPr>
          <w:color w:val="000000" w:themeColor="text1"/>
          <w:sz w:val="28"/>
          <w:szCs w:val="28"/>
          <w:lang w:val="uk-UA"/>
        </w:rPr>
        <w:t>Трудовий архів</w:t>
      </w:r>
      <w:r>
        <w:rPr>
          <w:color w:val="000000" w:themeColor="text1"/>
          <w:sz w:val="28"/>
          <w:szCs w:val="28"/>
          <w:lang w:val="uk-UA"/>
        </w:rPr>
        <w:t>»</w:t>
      </w:r>
      <w:r w:rsidRPr="00174EAC">
        <w:rPr>
          <w:color w:val="000000" w:themeColor="text1"/>
          <w:sz w:val="28"/>
          <w:szCs w:val="28"/>
          <w:lang w:val="uk-UA"/>
        </w:rPr>
        <w:t xml:space="preserve"> 71,4 тис.грн., Кишинському стаціонарному відділенню для постійного проживання на утримання жителів Білокоровицької громади 170,0тис.грн</w:t>
      </w:r>
      <w:r>
        <w:rPr>
          <w:color w:val="000000" w:themeColor="text1"/>
          <w:sz w:val="28"/>
          <w:szCs w:val="28"/>
          <w:lang w:val="uk-UA"/>
        </w:rPr>
        <w:t>.</w:t>
      </w:r>
      <w:r w:rsidRPr="00174EAC">
        <w:rPr>
          <w:color w:val="000000" w:themeColor="text1"/>
          <w:sz w:val="28"/>
          <w:szCs w:val="28"/>
          <w:lang w:val="uk-UA"/>
        </w:rPr>
        <w:t>, КНП «Олевська ЦЛ</w:t>
      </w:r>
      <w:r>
        <w:rPr>
          <w:color w:val="000000" w:themeColor="text1"/>
          <w:sz w:val="28"/>
          <w:szCs w:val="28"/>
          <w:lang w:val="uk-UA"/>
        </w:rPr>
        <w:t>»ОМР</w:t>
      </w:r>
      <w:r w:rsidRPr="00174EAC">
        <w:rPr>
          <w:color w:val="000000" w:themeColor="text1"/>
          <w:sz w:val="28"/>
          <w:szCs w:val="28"/>
          <w:lang w:val="uk-UA"/>
        </w:rPr>
        <w:t xml:space="preserve"> 165,0 </w:t>
      </w:r>
      <w:r>
        <w:rPr>
          <w:color w:val="000000" w:themeColor="text1"/>
          <w:sz w:val="28"/>
          <w:szCs w:val="28"/>
          <w:lang w:val="uk-UA"/>
        </w:rPr>
        <w:t>тис.грн.  на утримання лаборанта; 34,9  тис.грн. для  КУ «Інклюзивно - ресурсного центру» ОМР</w:t>
      </w:r>
      <w:r w:rsidRPr="00174EAC">
        <w:rPr>
          <w:color w:val="000000" w:themeColor="text1"/>
          <w:sz w:val="28"/>
          <w:szCs w:val="28"/>
          <w:lang w:val="uk-UA"/>
        </w:rPr>
        <w:t>).</w:t>
      </w:r>
    </w:p>
    <w:p w:rsidR="00A8190B" w:rsidRPr="00DA1A03" w:rsidRDefault="00A8190B" w:rsidP="00A8190B">
      <w:pPr>
        <w:pStyle w:val="21"/>
        <w:spacing w:after="0"/>
        <w:ind w:left="0" w:right="533" w:firstLine="567"/>
        <w:jc w:val="center"/>
        <w:rPr>
          <w:b/>
          <w:bCs/>
          <w:color w:val="FF0000"/>
          <w:sz w:val="28"/>
          <w:szCs w:val="28"/>
        </w:rPr>
      </w:pPr>
    </w:p>
    <w:p w:rsidR="00A8190B" w:rsidRPr="00DA1A03" w:rsidRDefault="00A8190B" w:rsidP="00A8190B">
      <w:pPr>
        <w:pStyle w:val="21"/>
        <w:spacing w:after="0"/>
        <w:ind w:left="0" w:right="533" w:firstLine="567"/>
        <w:jc w:val="center"/>
        <w:rPr>
          <w:b/>
          <w:bCs/>
          <w:color w:val="FF0000"/>
          <w:sz w:val="28"/>
          <w:szCs w:val="28"/>
        </w:rPr>
      </w:pPr>
    </w:p>
    <w:p w:rsidR="00A8190B" w:rsidRPr="001E2FBE" w:rsidRDefault="00A8190B" w:rsidP="00A8190B">
      <w:pPr>
        <w:ind w:firstLine="567"/>
        <w:jc w:val="center"/>
        <w:rPr>
          <w:rFonts w:ascii="Times New (W1)" w:hAnsi="Times New (W1)" w:cs="Times New (W1)"/>
          <w:b/>
          <w:bCs/>
          <w:color w:val="000000" w:themeColor="text1"/>
          <w:sz w:val="32"/>
          <w:szCs w:val="32"/>
          <w:lang w:val="uk-UA"/>
        </w:rPr>
      </w:pPr>
      <w:r w:rsidRPr="001E2FBE">
        <w:rPr>
          <w:rFonts w:ascii="Times New (W1)" w:hAnsi="Times New (W1)" w:cs="Times New (W1)"/>
          <w:b/>
          <w:bCs/>
          <w:color w:val="000000" w:themeColor="text1"/>
          <w:sz w:val="32"/>
          <w:szCs w:val="32"/>
          <w:lang w:val="uk-UA"/>
        </w:rPr>
        <w:t xml:space="preserve">На 2022 рік плануються наступні надходження </w:t>
      </w:r>
    </w:p>
    <w:p w:rsidR="00A8190B" w:rsidRPr="001E2FBE" w:rsidRDefault="00A8190B" w:rsidP="00A8190B">
      <w:pPr>
        <w:ind w:firstLine="567"/>
        <w:jc w:val="center"/>
        <w:rPr>
          <w:rFonts w:ascii="Times New (W1)" w:hAnsi="Times New (W1)" w:cs="Times New (W1)"/>
          <w:b/>
          <w:bCs/>
          <w:color w:val="000000" w:themeColor="text1"/>
          <w:sz w:val="30"/>
          <w:szCs w:val="30"/>
          <w:lang w:val="uk-UA"/>
        </w:rPr>
      </w:pPr>
      <w:r w:rsidRPr="001E2FBE">
        <w:rPr>
          <w:rFonts w:ascii="Times New (W1)" w:hAnsi="Times New (W1)" w:cs="Times New (W1)"/>
          <w:b/>
          <w:bCs/>
          <w:color w:val="000000" w:themeColor="text1"/>
          <w:sz w:val="32"/>
          <w:szCs w:val="32"/>
          <w:lang w:val="uk-UA"/>
        </w:rPr>
        <w:t>до спеціального  фонду</w:t>
      </w:r>
      <w:r w:rsidRPr="001E2FBE">
        <w:rPr>
          <w:rFonts w:ascii="Times New (W1)" w:hAnsi="Times New (W1)" w:cs="Times New (W1)"/>
          <w:b/>
          <w:bCs/>
          <w:color w:val="000000" w:themeColor="text1"/>
          <w:sz w:val="30"/>
          <w:szCs w:val="30"/>
          <w:lang w:val="uk-UA"/>
        </w:rPr>
        <w:t>.</w:t>
      </w:r>
    </w:p>
    <w:p w:rsidR="00A8190B" w:rsidRDefault="00A8190B" w:rsidP="00A8190B">
      <w:pPr>
        <w:ind w:firstLine="567"/>
        <w:jc w:val="both"/>
        <w:rPr>
          <w:color w:val="000000" w:themeColor="text1"/>
          <w:sz w:val="28"/>
          <w:szCs w:val="28"/>
          <w:highlight w:val="yellow"/>
          <w:lang w:val="uk-UA"/>
        </w:rPr>
      </w:pPr>
    </w:p>
    <w:p w:rsidR="00A8190B" w:rsidRDefault="00A8190B" w:rsidP="00A8190B">
      <w:pPr>
        <w:ind w:firstLine="567"/>
        <w:jc w:val="both"/>
        <w:rPr>
          <w:iCs/>
          <w:snapToGrid w:val="0"/>
          <w:sz w:val="28"/>
          <w:szCs w:val="28"/>
          <w:lang w:val="uk-UA"/>
        </w:rPr>
      </w:pPr>
      <w:r w:rsidRPr="008A5B78">
        <w:rPr>
          <w:bCs/>
          <w:iCs/>
          <w:snapToGrid w:val="0"/>
          <w:sz w:val="28"/>
          <w:szCs w:val="28"/>
          <w:lang w:val="uk-UA"/>
        </w:rPr>
        <w:t>Основними</w:t>
      </w:r>
      <w:r w:rsidR="00F8297C">
        <w:rPr>
          <w:bCs/>
          <w:iCs/>
          <w:snapToGrid w:val="0"/>
          <w:sz w:val="28"/>
          <w:szCs w:val="28"/>
          <w:lang w:val="uk-UA"/>
        </w:rPr>
        <w:t xml:space="preserve"> </w:t>
      </w:r>
      <w:r w:rsidRPr="008A5B78">
        <w:rPr>
          <w:iCs/>
          <w:snapToGrid w:val="0"/>
          <w:sz w:val="28"/>
          <w:szCs w:val="28"/>
          <w:lang w:val="uk-UA"/>
        </w:rPr>
        <w:t>платежами</w:t>
      </w:r>
      <w:r w:rsidR="00F8297C">
        <w:rPr>
          <w:iCs/>
          <w:snapToGrid w:val="0"/>
          <w:sz w:val="28"/>
          <w:szCs w:val="28"/>
          <w:lang w:val="uk-UA"/>
        </w:rPr>
        <w:t xml:space="preserve"> </w:t>
      </w:r>
      <w:r w:rsidRPr="008A5B78">
        <w:rPr>
          <w:bCs/>
          <w:iCs/>
          <w:snapToGrid w:val="0"/>
          <w:sz w:val="28"/>
          <w:szCs w:val="28"/>
          <w:lang w:val="uk-UA"/>
        </w:rPr>
        <w:t>спеціального фонду</w:t>
      </w:r>
      <w:r w:rsidRPr="008A5B78">
        <w:rPr>
          <w:iCs/>
          <w:snapToGrid w:val="0"/>
          <w:sz w:val="28"/>
          <w:szCs w:val="28"/>
          <w:lang w:val="uk-UA"/>
        </w:rPr>
        <w:t xml:space="preserve"> є </w:t>
      </w:r>
      <w:r w:rsidRPr="008A5B78">
        <w:rPr>
          <w:bCs/>
          <w:iCs/>
          <w:snapToGrid w:val="0"/>
          <w:sz w:val="28"/>
          <w:szCs w:val="28"/>
          <w:lang w:val="uk-UA"/>
        </w:rPr>
        <w:t>власні надходження</w:t>
      </w:r>
      <w:r w:rsidR="00F8297C">
        <w:rPr>
          <w:bCs/>
          <w:iCs/>
          <w:snapToGrid w:val="0"/>
          <w:sz w:val="28"/>
          <w:szCs w:val="28"/>
          <w:lang w:val="uk-UA"/>
        </w:rPr>
        <w:t xml:space="preserve"> </w:t>
      </w:r>
      <w:r w:rsidRPr="008A5B78">
        <w:rPr>
          <w:iCs/>
          <w:snapToGrid w:val="0"/>
          <w:sz w:val="28"/>
          <w:szCs w:val="28"/>
          <w:lang w:val="uk-UA"/>
        </w:rPr>
        <w:t>бюджетних установ, екологічний податок,</w:t>
      </w:r>
      <w:r w:rsidR="00F8297C">
        <w:rPr>
          <w:iCs/>
          <w:snapToGrid w:val="0"/>
          <w:sz w:val="28"/>
          <w:szCs w:val="28"/>
          <w:lang w:val="uk-UA"/>
        </w:rPr>
        <w:t xml:space="preserve"> </w:t>
      </w:r>
      <w:r w:rsidRPr="008A5B78">
        <w:rPr>
          <w:iCs/>
          <w:snapToGrid w:val="0"/>
          <w:sz w:val="28"/>
          <w:szCs w:val="28"/>
          <w:lang w:val="uk-UA"/>
        </w:rPr>
        <w:t xml:space="preserve">кошти від продажу землі, кошти від відчуження майна, що перебуває в комунальній власності та </w:t>
      </w:r>
      <w:r>
        <w:rPr>
          <w:iCs/>
          <w:snapToGrid w:val="0"/>
          <w:sz w:val="28"/>
          <w:szCs w:val="28"/>
          <w:lang w:val="uk-UA"/>
        </w:rPr>
        <w:t>інші.</w:t>
      </w:r>
    </w:p>
    <w:p w:rsidR="00A8190B" w:rsidRPr="008A5B78" w:rsidRDefault="00A8190B" w:rsidP="00A8190B">
      <w:pPr>
        <w:ind w:firstLine="567"/>
        <w:jc w:val="both"/>
        <w:rPr>
          <w:color w:val="000000" w:themeColor="text1"/>
          <w:sz w:val="28"/>
          <w:szCs w:val="28"/>
          <w:highlight w:val="yellow"/>
          <w:lang w:val="uk-UA"/>
        </w:rPr>
      </w:pPr>
    </w:p>
    <w:p w:rsidR="00A8190B" w:rsidRPr="001E2FBE" w:rsidRDefault="00A8190B" w:rsidP="00A8190B">
      <w:pPr>
        <w:ind w:firstLine="567"/>
        <w:jc w:val="both"/>
        <w:rPr>
          <w:b/>
          <w:color w:val="000000" w:themeColor="text1"/>
          <w:sz w:val="28"/>
          <w:szCs w:val="28"/>
          <w:lang w:val="uk-UA"/>
        </w:rPr>
      </w:pPr>
      <w:r w:rsidRPr="001E2FBE">
        <w:rPr>
          <w:b/>
          <w:color w:val="000000" w:themeColor="text1"/>
          <w:sz w:val="28"/>
          <w:szCs w:val="28"/>
          <w:lang w:val="uk-UA"/>
        </w:rPr>
        <w:t>Код 19010000 «Екологічний податок»</w:t>
      </w:r>
    </w:p>
    <w:p w:rsidR="00A8190B" w:rsidRPr="001E2FBE" w:rsidRDefault="00A8190B" w:rsidP="00A8190B">
      <w:pPr>
        <w:ind w:firstLine="567"/>
        <w:jc w:val="both"/>
        <w:rPr>
          <w:color w:val="000000" w:themeColor="text1"/>
          <w:sz w:val="28"/>
          <w:szCs w:val="28"/>
          <w:highlight w:val="yellow"/>
          <w:lang w:val="uk-UA"/>
        </w:rPr>
      </w:pPr>
    </w:p>
    <w:p w:rsidR="00A8190B" w:rsidRPr="001E2FBE" w:rsidRDefault="00A8190B" w:rsidP="00A8190B">
      <w:pPr>
        <w:ind w:firstLine="567"/>
        <w:jc w:val="both"/>
        <w:rPr>
          <w:color w:val="000000" w:themeColor="text1"/>
          <w:sz w:val="28"/>
          <w:szCs w:val="28"/>
          <w:lang w:val="uk-UA"/>
        </w:rPr>
      </w:pPr>
      <w:r w:rsidRPr="001E2FBE">
        <w:rPr>
          <w:color w:val="000000" w:themeColor="text1"/>
          <w:sz w:val="28"/>
          <w:szCs w:val="28"/>
          <w:lang w:val="uk-UA"/>
        </w:rPr>
        <w:t xml:space="preserve">Сума надходжень до міського бюджету на 2022 рік становить </w:t>
      </w:r>
      <w:r w:rsidRPr="001E2FBE">
        <w:rPr>
          <w:b/>
          <w:bCs/>
          <w:color w:val="000000" w:themeColor="text1"/>
          <w:sz w:val="28"/>
          <w:szCs w:val="28"/>
          <w:lang w:val="uk-UA"/>
        </w:rPr>
        <w:t xml:space="preserve">58,4 тис.грн. </w:t>
      </w:r>
      <w:r w:rsidRPr="001E2FBE">
        <w:rPr>
          <w:color w:val="000000" w:themeColor="text1"/>
          <w:sz w:val="28"/>
          <w:szCs w:val="28"/>
          <w:lang w:val="uk-UA"/>
        </w:rPr>
        <w:t>(згідно даних відділу еко</w:t>
      </w:r>
      <w:r>
        <w:rPr>
          <w:color w:val="000000" w:themeColor="text1"/>
          <w:sz w:val="28"/>
          <w:szCs w:val="28"/>
          <w:lang w:val="uk-UA"/>
        </w:rPr>
        <w:t xml:space="preserve">номічного розвитку, транспорту, </w:t>
      </w:r>
      <w:r w:rsidRPr="001E2FBE">
        <w:rPr>
          <w:color w:val="000000" w:themeColor="text1"/>
          <w:sz w:val="28"/>
          <w:szCs w:val="28"/>
          <w:lang w:val="uk-UA"/>
        </w:rPr>
        <w:t>інвестицій та комунальної власності Олевської міської ради та очікуваних надходжень за 2021 рік).</w:t>
      </w:r>
    </w:p>
    <w:p w:rsidR="00A8190B" w:rsidRPr="00820A21" w:rsidRDefault="00A8190B" w:rsidP="00A8190B">
      <w:pPr>
        <w:ind w:firstLine="567"/>
        <w:jc w:val="both"/>
        <w:rPr>
          <w:color w:val="FF0000"/>
          <w:sz w:val="28"/>
          <w:szCs w:val="28"/>
          <w:highlight w:val="yellow"/>
          <w:lang w:val="uk-UA"/>
        </w:rPr>
      </w:pPr>
    </w:p>
    <w:p w:rsidR="00A8190B" w:rsidRPr="00673BC4" w:rsidRDefault="00A8190B" w:rsidP="00A8190B">
      <w:pPr>
        <w:ind w:firstLine="567"/>
        <w:jc w:val="both"/>
        <w:rPr>
          <w:b/>
          <w:bCs/>
          <w:color w:val="000000" w:themeColor="text1"/>
          <w:sz w:val="28"/>
          <w:szCs w:val="28"/>
          <w:lang w:val="uk-UA"/>
        </w:rPr>
      </w:pPr>
      <w:r w:rsidRPr="00673BC4">
        <w:rPr>
          <w:b/>
          <w:bCs/>
          <w:color w:val="000000" w:themeColor="text1"/>
          <w:sz w:val="28"/>
          <w:szCs w:val="28"/>
          <w:lang w:val="uk-UA"/>
        </w:rPr>
        <w:t>Код 25010000 «Надходження від плати за послуги, що надаються бюджетними установами згідно із законодавством»</w:t>
      </w:r>
    </w:p>
    <w:p w:rsidR="00A8190B" w:rsidRPr="00673BC4" w:rsidRDefault="00A8190B" w:rsidP="00A8190B">
      <w:pPr>
        <w:ind w:firstLine="567"/>
        <w:jc w:val="both"/>
        <w:rPr>
          <w:color w:val="000000" w:themeColor="text1"/>
          <w:sz w:val="28"/>
          <w:szCs w:val="28"/>
          <w:highlight w:val="yellow"/>
          <w:lang w:val="uk-UA"/>
        </w:rPr>
      </w:pPr>
    </w:p>
    <w:p w:rsidR="00A8190B" w:rsidRPr="00673BC4" w:rsidRDefault="00A8190B" w:rsidP="00A8190B">
      <w:pPr>
        <w:ind w:firstLine="567"/>
        <w:jc w:val="both"/>
        <w:rPr>
          <w:color w:val="000000" w:themeColor="text1"/>
          <w:sz w:val="28"/>
          <w:szCs w:val="28"/>
          <w:highlight w:val="yellow"/>
          <w:lang w:val="uk-UA"/>
        </w:rPr>
      </w:pPr>
      <w:r w:rsidRPr="00673BC4">
        <w:rPr>
          <w:color w:val="000000" w:themeColor="text1"/>
          <w:sz w:val="28"/>
          <w:szCs w:val="28"/>
          <w:lang w:val="uk-UA"/>
        </w:rPr>
        <w:t xml:space="preserve">Сума надходжень від плати за послуги до міського бюджету на 2022 рік становить </w:t>
      </w:r>
      <w:r>
        <w:rPr>
          <w:b/>
          <w:bCs/>
          <w:color w:val="000000" w:themeColor="text1"/>
          <w:sz w:val="28"/>
          <w:szCs w:val="28"/>
          <w:lang w:val="uk-UA"/>
        </w:rPr>
        <w:t>25</w:t>
      </w:r>
      <w:r w:rsidRPr="00673BC4">
        <w:rPr>
          <w:b/>
          <w:bCs/>
          <w:color w:val="000000" w:themeColor="text1"/>
          <w:sz w:val="28"/>
          <w:szCs w:val="28"/>
          <w:lang w:val="uk-UA"/>
        </w:rPr>
        <w:t xml:space="preserve">18,7тис.грн. </w:t>
      </w:r>
      <w:r w:rsidRPr="00673BC4">
        <w:rPr>
          <w:color w:val="000000" w:themeColor="text1"/>
          <w:sz w:val="28"/>
          <w:szCs w:val="28"/>
          <w:lang w:val="uk-UA"/>
        </w:rPr>
        <w:t>(за рахунок плати за послуги, що надаються бюджетними установами згідно їх основної діяльності та плати за оренду майна бюджетних установ визначена на рівні фактичних надходжень за 2020 рік та очікуваних надходжень за 2021рік та відповідних розрахунків на 2022 рік розпорядників коштів).</w:t>
      </w:r>
    </w:p>
    <w:p w:rsidR="00A8190B" w:rsidRPr="00820A21" w:rsidRDefault="00A8190B" w:rsidP="00A8190B">
      <w:pPr>
        <w:ind w:firstLine="567"/>
        <w:jc w:val="both"/>
        <w:rPr>
          <w:b/>
          <w:color w:val="FF0000"/>
          <w:sz w:val="28"/>
          <w:szCs w:val="28"/>
          <w:lang w:val="uk-UA"/>
        </w:rPr>
      </w:pPr>
    </w:p>
    <w:p w:rsidR="00A8190B" w:rsidRPr="00673BC4" w:rsidRDefault="00A8190B" w:rsidP="00A8190B">
      <w:pPr>
        <w:ind w:firstLine="567"/>
        <w:jc w:val="both"/>
        <w:rPr>
          <w:b/>
          <w:color w:val="000000" w:themeColor="text1"/>
          <w:sz w:val="28"/>
          <w:szCs w:val="28"/>
          <w:lang w:val="uk-UA"/>
        </w:rPr>
      </w:pPr>
      <w:r w:rsidRPr="00673BC4">
        <w:rPr>
          <w:b/>
          <w:color w:val="000000" w:themeColor="text1"/>
          <w:sz w:val="28"/>
          <w:szCs w:val="28"/>
          <w:lang w:val="uk-UA"/>
        </w:rPr>
        <w:t>Код 3</w:t>
      </w:r>
      <w:r>
        <w:rPr>
          <w:b/>
          <w:color w:val="000000" w:themeColor="text1"/>
          <w:sz w:val="28"/>
          <w:szCs w:val="28"/>
          <w:lang w:val="uk-UA"/>
        </w:rPr>
        <w:t>3</w:t>
      </w:r>
      <w:r w:rsidRPr="00673BC4">
        <w:rPr>
          <w:b/>
          <w:color w:val="000000" w:themeColor="text1"/>
          <w:sz w:val="28"/>
          <w:szCs w:val="28"/>
          <w:lang w:val="uk-UA"/>
        </w:rPr>
        <w:t>010100 «Кошти від продажу земельних ділянок несільськогосподарського призначення, що перебувають у державній або комунальній власності, та земельних ділянок, які знаходяться на території Автономної Республіки Крим»</w:t>
      </w:r>
    </w:p>
    <w:p w:rsidR="00A8190B" w:rsidRPr="00673BC4" w:rsidRDefault="00A8190B" w:rsidP="00A8190B">
      <w:pPr>
        <w:ind w:firstLine="567"/>
        <w:jc w:val="both"/>
        <w:rPr>
          <w:color w:val="000000" w:themeColor="text1"/>
          <w:sz w:val="28"/>
          <w:szCs w:val="28"/>
          <w:lang w:val="uk-UA"/>
        </w:rPr>
      </w:pPr>
    </w:p>
    <w:p w:rsidR="00A8190B" w:rsidRPr="00673BC4" w:rsidRDefault="00A8190B" w:rsidP="00A8190B">
      <w:pPr>
        <w:ind w:firstLine="567"/>
        <w:jc w:val="both"/>
        <w:rPr>
          <w:color w:val="000000" w:themeColor="text1"/>
          <w:sz w:val="28"/>
          <w:szCs w:val="28"/>
          <w:highlight w:val="yellow"/>
          <w:lang w:val="uk-UA"/>
        </w:rPr>
      </w:pPr>
      <w:r w:rsidRPr="00673BC4">
        <w:rPr>
          <w:color w:val="000000" w:themeColor="text1"/>
          <w:sz w:val="28"/>
          <w:szCs w:val="28"/>
          <w:lang w:val="uk-UA"/>
        </w:rPr>
        <w:t xml:space="preserve">Сума надходжень до міського бюджету на 2022 рік становить </w:t>
      </w:r>
      <w:r w:rsidRPr="00673BC4">
        <w:rPr>
          <w:b/>
          <w:color w:val="000000" w:themeColor="text1"/>
          <w:sz w:val="28"/>
          <w:szCs w:val="28"/>
          <w:lang w:val="uk-UA"/>
        </w:rPr>
        <w:t>500,0 тис.грн</w:t>
      </w:r>
      <w:r w:rsidRPr="00673BC4">
        <w:rPr>
          <w:color w:val="000000" w:themeColor="text1"/>
          <w:sz w:val="28"/>
          <w:szCs w:val="28"/>
          <w:lang w:val="uk-UA"/>
        </w:rPr>
        <w:t xml:space="preserve">. (згідно даних </w:t>
      </w:r>
      <w:r w:rsidRPr="00AB30FF">
        <w:rPr>
          <w:color w:val="000000" w:themeColor="text1"/>
          <w:sz w:val="28"/>
          <w:szCs w:val="28"/>
          <w:lang w:val="uk-UA"/>
        </w:rPr>
        <w:t>відділу землекористування</w:t>
      </w:r>
      <w:r w:rsidR="00F8297C">
        <w:rPr>
          <w:color w:val="000000" w:themeColor="text1"/>
          <w:sz w:val="28"/>
          <w:szCs w:val="28"/>
          <w:lang w:val="uk-UA"/>
        </w:rPr>
        <w:t xml:space="preserve"> </w:t>
      </w:r>
      <w:r w:rsidRPr="003A69EE">
        <w:rPr>
          <w:color w:val="000000" w:themeColor="text1"/>
          <w:sz w:val="28"/>
          <w:szCs w:val="28"/>
          <w:lang w:val="uk-UA"/>
        </w:rPr>
        <w:t>Олевської</w:t>
      </w:r>
      <w:r w:rsidR="00F8297C">
        <w:rPr>
          <w:color w:val="000000" w:themeColor="text1"/>
          <w:sz w:val="28"/>
          <w:szCs w:val="28"/>
          <w:lang w:val="uk-UA"/>
        </w:rPr>
        <w:t xml:space="preserve"> </w:t>
      </w:r>
      <w:r w:rsidRPr="00FB5B1B">
        <w:rPr>
          <w:color w:val="000000" w:themeColor="text1"/>
          <w:sz w:val="28"/>
          <w:szCs w:val="28"/>
          <w:lang w:val="uk-UA"/>
        </w:rPr>
        <w:t>міської ради</w:t>
      </w:r>
      <w:r w:rsidRPr="00673BC4">
        <w:rPr>
          <w:color w:val="000000" w:themeColor="text1"/>
          <w:sz w:val="28"/>
          <w:szCs w:val="28"/>
          <w:lang w:val="uk-UA"/>
        </w:rPr>
        <w:t>, визначена на рівні фактичних надходжень за 2020 рік та фактичних надходжень за 2021рік  ).</w:t>
      </w:r>
    </w:p>
    <w:p w:rsidR="00A8190B" w:rsidRDefault="00A8190B" w:rsidP="00A8190B">
      <w:pPr>
        <w:ind w:firstLine="567"/>
        <w:jc w:val="both"/>
        <w:rPr>
          <w:color w:val="FF0000"/>
          <w:sz w:val="28"/>
          <w:szCs w:val="28"/>
          <w:highlight w:val="yellow"/>
          <w:lang w:val="uk-UA"/>
        </w:rPr>
      </w:pPr>
    </w:p>
    <w:p w:rsidR="00C664B0" w:rsidRDefault="00C664B0" w:rsidP="00394019">
      <w:pPr>
        <w:ind w:firstLine="567"/>
        <w:jc w:val="both"/>
        <w:rPr>
          <w:color w:val="FF0000"/>
          <w:sz w:val="28"/>
          <w:szCs w:val="28"/>
          <w:highlight w:val="yellow"/>
          <w:lang w:val="uk-UA"/>
        </w:rPr>
      </w:pPr>
    </w:p>
    <w:p w:rsidR="00325711" w:rsidRPr="00820A21" w:rsidRDefault="00325711" w:rsidP="00D94361">
      <w:pPr>
        <w:ind w:firstLine="709"/>
        <w:jc w:val="both"/>
        <w:rPr>
          <w:color w:val="FF0000"/>
          <w:sz w:val="28"/>
          <w:szCs w:val="28"/>
          <w:highlight w:val="yellow"/>
          <w:lang w:val="uk-UA"/>
        </w:rPr>
      </w:pPr>
    </w:p>
    <w:p w:rsidR="00D57931" w:rsidRPr="00D57931" w:rsidRDefault="00D57931" w:rsidP="00D57931">
      <w:pPr>
        <w:spacing w:after="120"/>
        <w:jc w:val="center"/>
        <w:rPr>
          <w:b/>
          <w:bCs/>
          <w:sz w:val="28"/>
          <w:szCs w:val="28"/>
          <w:lang w:val="uk-UA"/>
        </w:rPr>
      </w:pPr>
      <w:r w:rsidRPr="00D57931">
        <w:rPr>
          <w:b/>
          <w:bCs/>
          <w:sz w:val="28"/>
          <w:szCs w:val="28"/>
          <w:lang w:val="uk-UA"/>
        </w:rPr>
        <w:t>ПОЯСНЕННЯ ЩОДО ВИДАТКІВ ТА НАДАННЯ КРЕДИТІВ В РОЗРІЗІ ГОЛОВНИХ РОЗПОРЯДНИКІВ БЮДЖЕТНИХ КОШТІВ</w:t>
      </w:r>
    </w:p>
    <w:p w:rsidR="00D57931" w:rsidRPr="00D57931" w:rsidRDefault="00D57931" w:rsidP="00D57931">
      <w:pPr>
        <w:jc w:val="both"/>
        <w:rPr>
          <w:b/>
          <w:bCs/>
          <w:sz w:val="28"/>
          <w:szCs w:val="28"/>
          <w:lang w:val="uk-UA"/>
        </w:rPr>
      </w:pPr>
    </w:p>
    <w:p w:rsidR="00D57931" w:rsidRPr="00D57931" w:rsidRDefault="00F8297C" w:rsidP="00D57931">
      <w:pPr>
        <w:jc w:val="both"/>
        <w:rPr>
          <w:sz w:val="28"/>
          <w:szCs w:val="28"/>
          <w:lang w:val="uk-UA"/>
        </w:rPr>
      </w:pPr>
      <w:r>
        <w:rPr>
          <w:sz w:val="28"/>
          <w:szCs w:val="28"/>
          <w:lang w:val="uk-UA"/>
        </w:rPr>
        <w:t xml:space="preserve">       </w:t>
      </w:r>
      <w:r w:rsidR="00D57931" w:rsidRPr="00D57931">
        <w:rPr>
          <w:sz w:val="28"/>
          <w:szCs w:val="28"/>
          <w:lang w:val="uk-UA"/>
        </w:rPr>
        <w:t>При формуванні видаткової частини міського бюджету, спрямованої на утримання бюджетної сфери у 2022 році враховані власні ресурси міського бюджету</w:t>
      </w:r>
      <w:r>
        <w:rPr>
          <w:sz w:val="28"/>
          <w:szCs w:val="28"/>
          <w:lang w:val="uk-UA"/>
        </w:rPr>
        <w:t>,</w:t>
      </w:r>
      <w:r w:rsidR="00D57931" w:rsidRPr="00D57931">
        <w:rPr>
          <w:sz w:val="28"/>
          <w:szCs w:val="28"/>
          <w:lang w:val="uk-UA"/>
        </w:rPr>
        <w:t xml:space="preserve"> обсяги міжбюджетних трансфертів, визначені у проєкті Закону про Державний бюджет України на 2022 рік</w:t>
      </w:r>
      <w:r>
        <w:rPr>
          <w:sz w:val="28"/>
          <w:szCs w:val="28"/>
          <w:lang w:val="uk-UA"/>
        </w:rPr>
        <w:t>, проєкті обласного бюджету, та проекті бюджету Білокоровицької сільської територіальної громади</w:t>
      </w:r>
      <w:r w:rsidR="00D57931" w:rsidRPr="00D57931">
        <w:rPr>
          <w:sz w:val="28"/>
          <w:szCs w:val="28"/>
          <w:lang w:val="uk-UA"/>
        </w:rPr>
        <w:t xml:space="preserve">. </w:t>
      </w:r>
    </w:p>
    <w:p w:rsidR="00D57931" w:rsidRPr="00D57931" w:rsidRDefault="00D57931" w:rsidP="00D57931">
      <w:pPr>
        <w:jc w:val="both"/>
        <w:rPr>
          <w:sz w:val="27"/>
          <w:szCs w:val="27"/>
          <w:lang w:val="uk-UA"/>
        </w:rPr>
      </w:pPr>
      <w:r w:rsidRPr="00D57931">
        <w:rPr>
          <w:sz w:val="28"/>
          <w:szCs w:val="28"/>
          <w:lang w:val="uk-UA"/>
        </w:rPr>
        <w:t xml:space="preserve">        Обсяг освітньої субвенції спрямовується виключно на оплату праці з нарахуваннями педагогічним працівникам загальноосвітніх навчальних закладів. Базова дотація спрямовується на дошкільну освіту.</w:t>
      </w:r>
    </w:p>
    <w:p w:rsidR="00D57931" w:rsidRPr="00D57931" w:rsidRDefault="00D57931" w:rsidP="00D57931">
      <w:pPr>
        <w:jc w:val="both"/>
        <w:rPr>
          <w:sz w:val="28"/>
          <w:szCs w:val="28"/>
          <w:lang w:val="uk-UA"/>
        </w:rPr>
      </w:pPr>
      <w:r w:rsidRPr="00D57931">
        <w:rPr>
          <w:sz w:val="28"/>
          <w:szCs w:val="28"/>
          <w:lang w:val="uk-UA"/>
        </w:rPr>
        <w:t xml:space="preserve">        Фонд заробітної плати працівникам бюджетної сфери на 2022 рік обраховано на існуючу штатну чисельність по тарифних розрядах та обов’язкових виплатах згідно чинного законодавства та з урахуванням: </w:t>
      </w:r>
    </w:p>
    <w:p w:rsidR="00D57931" w:rsidRPr="00D57931" w:rsidRDefault="00D57931" w:rsidP="00D57931">
      <w:pPr>
        <w:jc w:val="both"/>
        <w:rPr>
          <w:sz w:val="28"/>
          <w:szCs w:val="28"/>
          <w:lang w:val="uk-UA"/>
        </w:rPr>
      </w:pPr>
      <w:r w:rsidRPr="00D57931">
        <w:rPr>
          <w:sz w:val="28"/>
          <w:szCs w:val="28"/>
          <w:lang w:val="uk-UA"/>
        </w:rPr>
        <w:t xml:space="preserve">       - запровадження розміру мінімальної заробітної плати працівників бюджетної сфери з 01 січня – 6500 грн.,  01 жовтня – 6700 грн., та посадового окладу (тарифної ставки) працівника першого тарифного розряду Єдиної тарифної сітки – з 01 січня – 2893 грн.,  01 жовтня – 2982 грн., що на 8,4 % більше ніж в 2021 році;</w:t>
      </w:r>
    </w:p>
    <w:p w:rsidR="00D57931" w:rsidRPr="00D57931" w:rsidRDefault="00D57931" w:rsidP="00D57931">
      <w:pPr>
        <w:jc w:val="both"/>
        <w:rPr>
          <w:sz w:val="28"/>
          <w:szCs w:val="28"/>
          <w:lang w:val="uk-UA"/>
        </w:rPr>
      </w:pPr>
      <w:r w:rsidRPr="00D57931">
        <w:rPr>
          <w:sz w:val="28"/>
          <w:szCs w:val="28"/>
          <w:lang w:val="uk-UA"/>
        </w:rPr>
        <w:t xml:space="preserve">      - встановлення розміру єдиного соціального внеску на рівні 22 %.</w:t>
      </w:r>
    </w:p>
    <w:p w:rsidR="00D57931" w:rsidRPr="00D57931" w:rsidRDefault="00D57931" w:rsidP="00D57931">
      <w:pPr>
        <w:jc w:val="both"/>
        <w:rPr>
          <w:sz w:val="28"/>
          <w:szCs w:val="28"/>
          <w:lang w:val="uk-UA"/>
        </w:rPr>
      </w:pPr>
      <w:r w:rsidRPr="00D57931">
        <w:rPr>
          <w:sz w:val="28"/>
          <w:szCs w:val="28"/>
          <w:lang w:val="uk-UA"/>
        </w:rPr>
        <w:t xml:space="preserve">      Врахований фонд заробітної плати по установах бюджетної сфери міського бюджету у порівнянні з уточненим планом 2021 роком зросте на </w:t>
      </w:r>
      <w:r w:rsidR="00165C6E">
        <w:rPr>
          <w:sz w:val="28"/>
          <w:szCs w:val="28"/>
          <w:lang w:val="uk-UA"/>
        </w:rPr>
        <w:t>8,8</w:t>
      </w:r>
      <w:r w:rsidRPr="00D57931">
        <w:rPr>
          <w:sz w:val="28"/>
          <w:szCs w:val="28"/>
          <w:lang w:val="uk-UA"/>
        </w:rPr>
        <w:t xml:space="preserve"> % або </w:t>
      </w:r>
      <w:r w:rsidR="00165C6E">
        <w:rPr>
          <w:sz w:val="28"/>
          <w:szCs w:val="28"/>
          <w:lang w:val="uk-UA"/>
        </w:rPr>
        <w:t>20347,4</w:t>
      </w:r>
      <w:r w:rsidRPr="00D57931">
        <w:rPr>
          <w:sz w:val="28"/>
          <w:szCs w:val="28"/>
          <w:lang w:val="uk-UA"/>
        </w:rPr>
        <w:t xml:space="preserve">тис. грн. </w:t>
      </w:r>
    </w:p>
    <w:p w:rsidR="00D57931" w:rsidRPr="00D57931" w:rsidRDefault="00D57931" w:rsidP="00D57931">
      <w:pPr>
        <w:tabs>
          <w:tab w:val="left" w:pos="354"/>
        </w:tabs>
        <w:jc w:val="both"/>
        <w:rPr>
          <w:sz w:val="28"/>
          <w:szCs w:val="28"/>
          <w:lang w:val="uk-UA"/>
        </w:rPr>
      </w:pPr>
      <w:r w:rsidRPr="00D57931">
        <w:rPr>
          <w:sz w:val="28"/>
          <w:szCs w:val="28"/>
          <w:lang w:val="uk-UA"/>
        </w:rPr>
        <w:tab/>
        <w:t xml:space="preserve"> Видатки на оплату комунальних послуг та енергоносіїв передбачені з урахуванням спожитих натуральних показників у 2021 році, діючих тарифів та  прогнозного підвищення у 2022 році. У порівнянні із 2021 роком видатки на оплату комунальних послуг та енергоносіїв враховані на </w:t>
      </w:r>
      <w:r w:rsidRPr="00D57931">
        <w:rPr>
          <w:sz w:val="28"/>
          <w:szCs w:val="28"/>
        </w:rPr>
        <w:t>36,4</w:t>
      </w:r>
      <w:r w:rsidRPr="00D57931">
        <w:rPr>
          <w:sz w:val="28"/>
          <w:szCs w:val="28"/>
          <w:lang w:val="uk-UA"/>
        </w:rPr>
        <w:t xml:space="preserve"> %  або</w:t>
      </w:r>
      <w:r w:rsidRPr="00D57931">
        <w:rPr>
          <w:sz w:val="28"/>
          <w:szCs w:val="28"/>
        </w:rPr>
        <w:t xml:space="preserve"> 3</w:t>
      </w:r>
      <w:r w:rsidR="00F8297C">
        <w:rPr>
          <w:sz w:val="28"/>
          <w:szCs w:val="28"/>
        </w:rPr>
        <w:t xml:space="preserve"> </w:t>
      </w:r>
      <w:r w:rsidRPr="00D57931">
        <w:rPr>
          <w:sz w:val="28"/>
          <w:szCs w:val="28"/>
        </w:rPr>
        <w:t>87</w:t>
      </w:r>
      <w:r w:rsidR="00165C6E">
        <w:rPr>
          <w:sz w:val="28"/>
          <w:szCs w:val="28"/>
          <w:lang w:val="uk-UA"/>
        </w:rPr>
        <w:t>6,4</w:t>
      </w:r>
      <w:r w:rsidR="00F8297C">
        <w:rPr>
          <w:sz w:val="28"/>
          <w:szCs w:val="28"/>
          <w:lang w:val="uk-UA"/>
        </w:rPr>
        <w:t>тис.грн.</w:t>
      </w:r>
    </w:p>
    <w:p w:rsidR="00D57931" w:rsidRPr="00D57931" w:rsidRDefault="00D57931" w:rsidP="00D57931">
      <w:pPr>
        <w:tabs>
          <w:tab w:val="left" w:pos="354"/>
        </w:tabs>
        <w:jc w:val="both"/>
        <w:rPr>
          <w:sz w:val="28"/>
          <w:szCs w:val="28"/>
          <w:lang w:val="uk-UA"/>
        </w:rPr>
      </w:pPr>
      <w:r w:rsidRPr="00D57931">
        <w:rPr>
          <w:sz w:val="28"/>
          <w:szCs w:val="28"/>
          <w:lang w:val="uk-UA"/>
        </w:rPr>
        <w:tab/>
      </w:r>
    </w:p>
    <w:p w:rsidR="00D57931" w:rsidRPr="00D57931" w:rsidRDefault="00D57931" w:rsidP="00D57931">
      <w:pPr>
        <w:tabs>
          <w:tab w:val="left" w:pos="354"/>
        </w:tabs>
        <w:jc w:val="both"/>
        <w:rPr>
          <w:sz w:val="28"/>
          <w:szCs w:val="28"/>
          <w:lang w:val="uk-UA"/>
        </w:rPr>
      </w:pPr>
      <w:r w:rsidRPr="00D57931">
        <w:rPr>
          <w:sz w:val="28"/>
          <w:szCs w:val="28"/>
          <w:lang w:val="uk-UA"/>
        </w:rPr>
        <w:tab/>
        <w:t xml:space="preserve">Для порівняння наводяться дані затверджених видатків </w:t>
      </w:r>
      <w:r w:rsidRPr="00D57931">
        <w:rPr>
          <w:sz w:val="28"/>
          <w:szCs w:val="28"/>
        </w:rPr>
        <w:t xml:space="preserve">на </w:t>
      </w:r>
      <w:r w:rsidRPr="00D57931">
        <w:rPr>
          <w:sz w:val="28"/>
          <w:szCs w:val="28"/>
          <w:lang w:val="uk-UA"/>
        </w:rPr>
        <w:t>2021 рік, з урахуванням внесених змін, та проєкт видатків при плануванні 2022 року.</w:t>
      </w:r>
    </w:p>
    <w:p w:rsidR="00D57931" w:rsidRPr="00D57931" w:rsidRDefault="00D57931" w:rsidP="00D57931">
      <w:pPr>
        <w:autoSpaceDE w:val="0"/>
        <w:autoSpaceDN w:val="0"/>
        <w:adjustRightInd w:val="0"/>
        <w:spacing w:before="120" w:after="120" w:line="22" w:lineRule="atLeast"/>
        <w:ind w:firstLine="709"/>
        <w:jc w:val="both"/>
        <w:rPr>
          <w:color w:val="FF0000"/>
          <w:sz w:val="28"/>
          <w:szCs w:val="28"/>
          <w:lang w:val="en-US"/>
        </w:rPr>
      </w:pPr>
      <w:r w:rsidRPr="00D57931">
        <w:rPr>
          <w:noProof/>
          <w:color w:val="FF0000"/>
          <w:sz w:val="28"/>
          <w:szCs w:val="28"/>
        </w:rPr>
        <w:lastRenderedPageBreak/>
        <w:drawing>
          <wp:inline distT="0" distB="0" distL="0" distR="0">
            <wp:extent cx="5809130" cy="2981406"/>
            <wp:effectExtent l="0" t="0" r="1270" b="0"/>
            <wp:docPr id="8"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D57931" w:rsidRPr="00D57931" w:rsidRDefault="00D57931" w:rsidP="00D57931">
      <w:pPr>
        <w:autoSpaceDE w:val="0"/>
        <w:autoSpaceDN w:val="0"/>
        <w:adjustRightInd w:val="0"/>
        <w:spacing w:before="120" w:after="120" w:line="22" w:lineRule="atLeast"/>
        <w:ind w:firstLine="709"/>
        <w:jc w:val="both"/>
        <w:rPr>
          <w:color w:val="FF0000"/>
          <w:sz w:val="28"/>
          <w:szCs w:val="28"/>
        </w:rPr>
      </w:pPr>
      <w:r w:rsidRPr="00D57931">
        <w:rPr>
          <w:noProof/>
          <w:color w:val="FF0000"/>
          <w:sz w:val="28"/>
          <w:szCs w:val="28"/>
        </w:rPr>
        <w:drawing>
          <wp:inline distT="0" distB="0" distL="0" distR="0">
            <wp:extent cx="5901338" cy="3357923"/>
            <wp:effectExtent l="0" t="0" r="4445" b="0"/>
            <wp:docPr id="9"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D57931" w:rsidRPr="00D57931" w:rsidRDefault="00D57931" w:rsidP="00D57931">
      <w:pPr>
        <w:autoSpaceDE w:val="0"/>
        <w:autoSpaceDN w:val="0"/>
        <w:adjustRightInd w:val="0"/>
        <w:spacing w:before="120" w:after="120" w:line="22" w:lineRule="atLeast"/>
        <w:ind w:firstLine="709"/>
        <w:jc w:val="both"/>
        <w:rPr>
          <w:color w:val="FF0000"/>
          <w:sz w:val="28"/>
          <w:szCs w:val="28"/>
          <w:lang w:val="en-US"/>
        </w:rPr>
      </w:pPr>
    </w:p>
    <w:p w:rsidR="00D57931" w:rsidRPr="00D57931" w:rsidRDefault="00D57931" w:rsidP="00D57931">
      <w:pPr>
        <w:autoSpaceDE w:val="0"/>
        <w:autoSpaceDN w:val="0"/>
        <w:adjustRightInd w:val="0"/>
        <w:spacing w:before="120" w:after="120" w:line="22" w:lineRule="atLeast"/>
        <w:ind w:firstLine="567"/>
        <w:jc w:val="both"/>
        <w:rPr>
          <w:sz w:val="28"/>
          <w:szCs w:val="28"/>
          <w:lang w:val="uk-UA" w:eastAsia="en-US"/>
        </w:rPr>
      </w:pPr>
      <w:r w:rsidRPr="00D57931">
        <w:rPr>
          <w:sz w:val="28"/>
          <w:szCs w:val="28"/>
          <w:lang w:val="uk-UA"/>
        </w:rPr>
        <w:t>По головному розпоряднику бюджетних коштів 011000</w:t>
      </w:r>
      <w:r>
        <w:rPr>
          <w:sz w:val="28"/>
          <w:szCs w:val="28"/>
          <w:lang w:val="uk-UA"/>
        </w:rPr>
        <w:t>0</w:t>
      </w:r>
      <w:r w:rsidRPr="00D57931">
        <w:rPr>
          <w:sz w:val="28"/>
          <w:szCs w:val="28"/>
          <w:lang w:val="uk-UA"/>
        </w:rPr>
        <w:t xml:space="preserve"> «Олевська міська рада» видатки передбачено в сумі – 114</w:t>
      </w:r>
      <w:r w:rsidR="0008778B">
        <w:rPr>
          <w:sz w:val="28"/>
          <w:szCs w:val="28"/>
          <w:lang w:val="uk-UA"/>
        </w:rPr>
        <w:t>966,3</w:t>
      </w:r>
      <w:r w:rsidRPr="00D57931">
        <w:rPr>
          <w:sz w:val="28"/>
          <w:szCs w:val="28"/>
          <w:lang w:val="uk-UA"/>
        </w:rPr>
        <w:t xml:space="preserve"> тис. грн., </w:t>
      </w:r>
      <w:r w:rsidRPr="00D57931">
        <w:rPr>
          <w:sz w:val="28"/>
          <w:szCs w:val="28"/>
          <w:lang w:val="uk-UA" w:eastAsia="en-US"/>
        </w:rPr>
        <w:t xml:space="preserve">у тому числі по загальному фонду – </w:t>
      </w:r>
      <w:r w:rsidR="0008778B">
        <w:rPr>
          <w:sz w:val="28"/>
          <w:szCs w:val="28"/>
          <w:lang w:val="uk-UA" w:eastAsia="en-US"/>
        </w:rPr>
        <w:t xml:space="preserve">108390,1 </w:t>
      </w:r>
      <w:r w:rsidRPr="00D57931">
        <w:rPr>
          <w:sz w:val="28"/>
          <w:szCs w:val="28"/>
          <w:lang w:val="uk-UA" w:eastAsia="en-US"/>
        </w:rPr>
        <w:t>тис. грн., по спеціальному –6</w:t>
      </w:r>
      <w:r w:rsidR="0008778B">
        <w:rPr>
          <w:sz w:val="28"/>
          <w:szCs w:val="28"/>
          <w:lang w:val="uk-UA" w:eastAsia="en-US"/>
        </w:rPr>
        <w:t>576,1</w:t>
      </w:r>
      <w:r w:rsidRPr="00D57931">
        <w:rPr>
          <w:sz w:val="28"/>
          <w:szCs w:val="28"/>
          <w:lang w:val="uk-UA" w:eastAsia="en-US"/>
        </w:rPr>
        <w:t xml:space="preserve"> тис. грн., із них:</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 – 23736,5 тис.грн. (загальний фонд – 23706,5 тис.грн., спеціальний фонд -  30,0  тис.грн.);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інша діяльність у сфері державного управління по загальному фонду – 401,</w:t>
      </w:r>
      <w:r w:rsidR="0055444C">
        <w:rPr>
          <w:sz w:val="28"/>
          <w:szCs w:val="28"/>
          <w:lang w:val="uk-UA" w:eastAsia="en-US"/>
        </w:rPr>
        <w:t>3</w:t>
      </w:r>
      <w:r w:rsidRPr="00D57931">
        <w:rPr>
          <w:sz w:val="28"/>
          <w:szCs w:val="28"/>
          <w:lang w:val="uk-UA" w:eastAsia="en-US"/>
        </w:rPr>
        <w:t xml:space="preserve"> тис. грн.;</w:t>
      </w:r>
    </w:p>
    <w:p w:rsid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lastRenderedPageBreak/>
        <w:t>дошкільна освіта 54</w:t>
      </w:r>
      <w:r w:rsidR="0008778B">
        <w:rPr>
          <w:sz w:val="28"/>
          <w:szCs w:val="28"/>
          <w:lang w:val="uk-UA" w:eastAsia="en-US"/>
        </w:rPr>
        <w:t> 429,5</w:t>
      </w:r>
      <w:r w:rsidRPr="00D57931">
        <w:rPr>
          <w:sz w:val="28"/>
          <w:szCs w:val="28"/>
          <w:lang w:val="uk-UA" w:eastAsia="en-US"/>
        </w:rPr>
        <w:t>тис.грн. (загальний фонд – 529</w:t>
      </w:r>
      <w:r w:rsidR="0008778B">
        <w:rPr>
          <w:sz w:val="28"/>
          <w:szCs w:val="28"/>
          <w:lang w:val="uk-UA" w:eastAsia="en-US"/>
        </w:rPr>
        <w:t>29</w:t>
      </w:r>
      <w:r w:rsidRPr="00D57931">
        <w:rPr>
          <w:sz w:val="28"/>
          <w:szCs w:val="28"/>
          <w:lang w:val="uk-UA" w:eastAsia="en-US"/>
        </w:rPr>
        <w:t>,</w:t>
      </w:r>
      <w:r w:rsidR="0008778B">
        <w:rPr>
          <w:sz w:val="28"/>
          <w:szCs w:val="28"/>
          <w:lang w:val="uk-UA" w:eastAsia="en-US"/>
        </w:rPr>
        <w:t>5</w:t>
      </w:r>
      <w:r w:rsidRPr="00D57931">
        <w:rPr>
          <w:sz w:val="28"/>
          <w:szCs w:val="28"/>
          <w:lang w:val="uk-UA" w:eastAsia="en-US"/>
        </w:rPr>
        <w:t>тис.грн., спеціальний фонд – 1 </w:t>
      </w:r>
      <w:r w:rsidR="00165C6E">
        <w:rPr>
          <w:sz w:val="28"/>
          <w:szCs w:val="28"/>
          <w:lang w:val="uk-UA" w:eastAsia="en-US"/>
        </w:rPr>
        <w:t>5</w:t>
      </w:r>
      <w:r w:rsidRPr="00D57931">
        <w:rPr>
          <w:sz w:val="28"/>
          <w:szCs w:val="28"/>
          <w:lang w:val="uk-UA" w:eastAsia="en-US"/>
        </w:rPr>
        <w:t>00,0 тис.грн.) із них</w:t>
      </w:r>
      <w:r w:rsidRPr="00D57931">
        <w:rPr>
          <w:sz w:val="28"/>
          <w:szCs w:val="28"/>
          <w:lang w:val="uk-UA"/>
        </w:rPr>
        <w:t xml:space="preserve"> базова дотація – 3840</w:t>
      </w:r>
      <w:r w:rsidR="0008778B">
        <w:rPr>
          <w:sz w:val="28"/>
          <w:szCs w:val="28"/>
          <w:lang w:val="uk-UA"/>
        </w:rPr>
        <w:t>6,4</w:t>
      </w:r>
      <w:r w:rsidRPr="00D57931">
        <w:rPr>
          <w:sz w:val="28"/>
          <w:szCs w:val="28"/>
          <w:lang w:val="uk-UA"/>
        </w:rPr>
        <w:t xml:space="preserve"> тис. грн. </w:t>
      </w:r>
      <w:r w:rsidRPr="00D57931">
        <w:rPr>
          <w:sz w:val="28"/>
          <w:szCs w:val="28"/>
          <w:lang w:val="uk-UA" w:eastAsia="en-US"/>
        </w:rPr>
        <w:t>За рахунок коштів утримуються 27 дошкільних навчальних заклади</w:t>
      </w:r>
      <w:r w:rsidR="00874700">
        <w:rPr>
          <w:sz w:val="28"/>
          <w:szCs w:val="28"/>
          <w:lang w:val="uk-UA" w:eastAsia="en-US"/>
        </w:rPr>
        <w:t>,</w:t>
      </w:r>
      <w:r w:rsidRPr="00D57931">
        <w:rPr>
          <w:sz w:val="28"/>
          <w:szCs w:val="28"/>
          <w:lang w:val="uk-UA" w:eastAsia="en-US"/>
        </w:rPr>
        <w:t xml:space="preserve"> із них </w:t>
      </w:r>
      <w:r w:rsidR="00874700">
        <w:rPr>
          <w:sz w:val="28"/>
          <w:szCs w:val="28"/>
          <w:lang w:val="uk-UA" w:eastAsia="en-US"/>
        </w:rPr>
        <w:t>-</w:t>
      </w:r>
      <w:r w:rsidRPr="00D57931">
        <w:rPr>
          <w:sz w:val="28"/>
          <w:szCs w:val="28"/>
          <w:lang w:val="uk-UA" w:eastAsia="en-US"/>
        </w:rPr>
        <w:t xml:space="preserve"> 8 </w:t>
      </w:r>
      <w:r w:rsidRPr="00D57931">
        <w:rPr>
          <w:sz w:val="28"/>
          <w:szCs w:val="28"/>
          <w:lang w:val="uk-UA"/>
        </w:rPr>
        <w:t>дитячих дошкільних установ з групами короткотривалого перебування дітей</w:t>
      </w:r>
      <w:r w:rsidRPr="00D57931">
        <w:rPr>
          <w:sz w:val="28"/>
          <w:szCs w:val="28"/>
          <w:lang w:val="uk-UA" w:eastAsia="en-US"/>
        </w:rPr>
        <w:t>;</w:t>
      </w:r>
    </w:p>
    <w:p w:rsidR="00F45F60" w:rsidRPr="004F45F3" w:rsidRDefault="00F45F60"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4F45F3">
        <w:rPr>
          <w:sz w:val="28"/>
          <w:szCs w:val="28"/>
          <w:lang w:val="uk-UA" w:eastAsia="en-US"/>
        </w:rPr>
        <w:t xml:space="preserve">надання </w:t>
      </w:r>
      <w:r w:rsidRPr="004F45F3">
        <w:rPr>
          <w:sz w:val="28"/>
          <w:szCs w:val="28"/>
          <w:lang w:val="uk-UA"/>
        </w:rPr>
        <w:t>освіти за рахунок субвенції з державного бюджету місцевим бюджетам на надання державної підтримки особам з особливими освітніми потребам -210,0 тис. грн. (загальний фонд -156,3 тис. грн. видатки розвитку – 53,7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 xml:space="preserve">багатопрофільна стаціонарна медична допомога населенню по загальному фонду – 3415,0 тис. грн.; </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первинна медична допомога населенню, що надається центрами первинної медичної (медико-санітарної) допомоги – 3000,0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інші програми та заходи у сфері охорони здоров’я – 500,0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iCs/>
          <w:sz w:val="28"/>
          <w:szCs w:val="28"/>
          <w:lang w:val="uk-UA"/>
        </w:rPr>
        <w:t>к</w:t>
      </w:r>
      <w:r w:rsidRPr="00D57931">
        <w:rPr>
          <w:iCs/>
          <w:sz w:val="28"/>
          <w:szCs w:val="28"/>
        </w:rPr>
        <w:t>омпенсаційнівиплати на пільговийпроїздавтомобільним транспортом окремимкатегоріямгромадян</w:t>
      </w:r>
      <w:r w:rsidRPr="00D57931">
        <w:rPr>
          <w:sz w:val="28"/>
          <w:szCs w:val="28"/>
          <w:lang w:val="uk-UA" w:eastAsia="en-US"/>
        </w:rPr>
        <w:t>– 460,0 тис.грн;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компенсаційні виплати за пільговий проїзд окремих категорій громадян на залізничному транспорті – 74,0 тис.грн.;</w:t>
      </w:r>
    </w:p>
    <w:p w:rsidR="00D57931" w:rsidRPr="004F45F3"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4F45F3">
        <w:rPr>
          <w:iCs/>
          <w:sz w:val="28"/>
          <w:szCs w:val="28"/>
          <w:lang w:val="uk-UA"/>
        </w:rPr>
        <w:t>пільгове медичне обслуговування осіб, які постраждали внаслідок Чорнобильської катастрофи – 837,7 тис.грн.;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забезпечення соціальними послугами за місцем проживання громадян, які не здатні до самообслуговування у зв`язку з похилим віком, хворобою, інвалідністю – 8104 тис. грн. (загальний фонд – 7270,0 тис. грн., спеціальний фонд – 834,0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надання реабілітаційних послуг особам з інвалідністю та дітям з інвалідністю – 1 400,0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утримання та забезпечення діяльності центрів соціальних служб для сім`ї, дітей та молоді – 2 700,0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надання соціальних гарантій фізичним особам, які надають соціальні послуги громадянам похилого віку, особам з інвалідністю, дітям з інвалідністю, хворим, які не здатні до самообслуговування і потребують сторонньої допомоги 1500,0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інші заходи у сфері соціального захисту і соціального забезпечення – 500,00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інші заходи в галузі культури і мистецтва – 600,0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організація благоустрою населених пунктів – 9970,0 тис. грн. (загальний фонд – 6 600,0 тис. грн., спеціальний фонд – 3370,0 тис. грн.);</w:t>
      </w:r>
    </w:p>
    <w:p w:rsidR="00D57931" w:rsidRPr="00D57931" w:rsidRDefault="00484C15"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Pr>
          <w:sz w:val="28"/>
          <w:szCs w:val="28"/>
          <w:lang w:val="uk-UA" w:eastAsia="en-US"/>
        </w:rPr>
        <w:t>с</w:t>
      </w:r>
      <w:r w:rsidR="00D57931" w:rsidRPr="00D57931">
        <w:rPr>
          <w:sz w:val="28"/>
          <w:szCs w:val="28"/>
          <w:lang w:val="uk-UA" w:eastAsia="en-US"/>
        </w:rPr>
        <w:t xml:space="preserve">півфінансування проектних, будівельно-ремонтних робіт, придбання житла та приміщень для розвитку сімейних та інших форм виховання, наближених до сімейних, та забезпечення житлом дітей-сиріт, дітей, позбавлених батьківського піклування, осіб з їх числа </w:t>
      </w:r>
      <w:r>
        <w:rPr>
          <w:sz w:val="28"/>
          <w:szCs w:val="28"/>
          <w:lang w:val="uk-UA" w:eastAsia="en-US"/>
        </w:rPr>
        <w:t xml:space="preserve">- </w:t>
      </w:r>
      <w:r w:rsidR="00D57931" w:rsidRPr="00D57931">
        <w:rPr>
          <w:sz w:val="28"/>
          <w:szCs w:val="28"/>
          <w:lang w:val="uk-UA" w:eastAsia="en-US"/>
        </w:rPr>
        <w:t>230,0 тис.грн.( спеціальний фонд);</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lastRenderedPageBreak/>
        <w:t>будівництво об'єктів житлово-комунального господарства  500,00 тис. грн. (спеціальний фонд – 500,0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утримання та розвиток автомобільних доріг та дорожньої інфраструктури за рахунок коштів місцевого бюджету – 1 500,0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реалізація програм і заходів в галузі туризму та курортів – 240,0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членські внески до асоціацій органів місцевого самоврядування – 85,00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забезпечення діяльності місцевої пожежної охорони – 364,3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ліквідація іншого забруднення навколишнього природного середовища – 58,4 тис.грн (спеціальний фонд – 58,4 тис.грн.);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обслуговування місцевого боргу -150,6 тис.грн.</w:t>
      </w:r>
    </w:p>
    <w:p w:rsidR="00D57931" w:rsidRPr="00D57931" w:rsidRDefault="00D57931" w:rsidP="00D57931">
      <w:pPr>
        <w:autoSpaceDE w:val="0"/>
        <w:autoSpaceDN w:val="0"/>
        <w:adjustRightInd w:val="0"/>
        <w:spacing w:before="120" w:after="120" w:line="22" w:lineRule="atLeast"/>
        <w:ind w:firstLine="567"/>
        <w:jc w:val="both"/>
        <w:rPr>
          <w:sz w:val="28"/>
          <w:szCs w:val="28"/>
          <w:lang w:val="uk-UA" w:eastAsia="en-US"/>
        </w:rPr>
      </w:pPr>
      <w:r w:rsidRPr="00D57931">
        <w:rPr>
          <w:sz w:val="28"/>
          <w:szCs w:val="28"/>
          <w:lang w:val="uk-UA"/>
        </w:rPr>
        <w:t>По головному розпоряднику бюджетних коштів 371000</w:t>
      </w:r>
      <w:r>
        <w:rPr>
          <w:sz w:val="28"/>
          <w:szCs w:val="28"/>
          <w:lang w:val="uk-UA"/>
        </w:rPr>
        <w:t>0</w:t>
      </w:r>
      <w:r w:rsidRPr="00D57931">
        <w:rPr>
          <w:sz w:val="28"/>
          <w:szCs w:val="28"/>
          <w:lang w:val="uk-UA"/>
        </w:rPr>
        <w:t xml:space="preserve"> «Фінансове управління Олевської міської ради» видатки передбачено в сумі – 2</w:t>
      </w:r>
      <w:r>
        <w:rPr>
          <w:sz w:val="28"/>
          <w:szCs w:val="28"/>
          <w:lang w:val="uk-UA"/>
        </w:rPr>
        <w:t> 492,8</w:t>
      </w:r>
      <w:r w:rsidRPr="00D57931">
        <w:rPr>
          <w:sz w:val="28"/>
          <w:szCs w:val="28"/>
          <w:lang w:val="uk-UA"/>
        </w:rPr>
        <w:t xml:space="preserve"> тис. грн., </w:t>
      </w:r>
      <w:r w:rsidRPr="00D57931">
        <w:rPr>
          <w:sz w:val="28"/>
          <w:szCs w:val="28"/>
          <w:lang w:val="uk-UA" w:eastAsia="en-US"/>
        </w:rPr>
        <w:t xml:space="preserve">у тому числі по загальному фонду – </w:t>
      </w:r>
      <w:r>
        <w:rPr>
          <w:sz w:val="28"/>
          <w:szCs w:val="28"/>
          <w:lang w:val="uk-UA" w:eastAsia="en-US"/>
        </w:rPr>
        <w:t>2492,8</w:t>
      </w:r>
      <w:r w:rsidRPr="00D57931">
        <w:rPr>
          <w:sz w:val="28"/>
          <w:szCs w:val="28"/>
          <w:lang w:val="uk-UA" w:eastAsia="en-US"/>
        </w:rPr>
        <w:t xml:space="preserve"> тис. грн., із них: </w:t>
      </w:r>
    </w:p>
    <w:p w:rsidR="00D57931" w:rsidRPr="00D57931" w:rsidRDefault="00D57931" w:rsidP="00D57931">
      <w:pPr>
        <w:numPr>
          <w:ilvl w:val="0"/>
          <w:numId w:val="1"/>
        </w:numPr>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керівництво і управління у відповідній сфері у містах (місті Києві), селищах, селах,  територіальних громадах– 2053,7 тис.грн.;</w:t>
      </w:r>
    </w:p>
    <w:p w:rsidR="00D57931" w:rsidRPr="00D57931" w:rsidRDefault="00D57931" w:rsidP="00D57931">
      <w:pPr>
        <w:numPr>
          <w:ilvl w:val="0"/>
          <w:numId w:val="1"/>
        </w:numPr>
        <w:tabs>
          <w:tab w:val="clear" w:pos="2201"/>
          <w:tab w:val="num" w:pos="0"/>
        </w:tabs>
        <w:spacing w:before="120" w:after="120"/>
        <w:ind w:left="0" w:firstLine="567"/>
        <w:jc w:val="both"/>
        <w:rPr>
          <w:sz w:val="28"/>
          <w:szCs w:val="28"/>
          <w:lang w:val="uk-UA"/>
        </w:rPr>
      </w:pPr>
      <w:r w:rsidRPr="00D57931">
        <w:rPr>
          <w:sz w:val="28"/>
          <w:szCs w:val="28"/>
          <w:lang w:val="uk-UA"/>
        </w:rPr>
        <w:t>з урахуванням норм статті 24 Бюджетного кодексу України у проєкті бюджету Олевської міської територіальної громади передбачено резервний фонд з обсягом видатків по загальному фонду у сумі 200,0</w:t>
      </w:r>
      <w:r w:rsidRPr="00D57931">
        <w:rPr>
          <w:sz w:val="28"/>
          <w:szCs w:val="28"/>
        </w:rPr>
        <w:t> </w:t>
      </w:r>
      <w:r w:rsidRPr="00D57931">
        <w:rPr>
          <w:sz w:val="28"/>
          <w:szCs w:val="28"/>
          <w:lang w:val="uk-UA"/>
        </w:rPr>
        <w:t>тис.</w:t>
      </w:r>
      <w:r w:rsidRPr="00D57931">
        <w:rPr>
          <w:sz w:val="28"/>
          <w:szCs w:val="28"/>
        </w:rPr>
        <w:t> </w:t>
      </w:r>
      <w:r w:rsidRPr="00D57931">
        <w:rPr>
          <w:sz w:val="28"/>
          <w:szCs w:val="28"/>
          <w:lang w:val="uk-UA"/>
        </w:rPr>
        <w:t>гривень.</w:t>
      </w:r>
    </w:p>
    <w:p w:rsidR="00D57931" w:rsidRPr="00D57931" w:rsidRDefault="00D57931" w:rsidP="00D57931">
      <w:pPr>
        <w:numPr>
          <w:ilvl w:val="0"/>
          <w:numId w:val="1"/>
        </w:numPr>
        <w:tabs>
          <w:tab w:val="clear" w:pos="2201"/>
          <w:tab w:val="num" w:pos="0"/>
        </w:tabs>
        <w:spacing w:before="120" w:after="120"/>
        <w:ind w:left="0" w:firstLine="567"/>
        <w:jc w:val="both"/>
        <w:rPr>
          <w:sz w:val="28"/>
          <w:szCs w:val="28"/>
          <w:lang w:val="uk-UA"/>
        </w:rPr>
      </w:pPr>
      <w:r w:rsidRPr="00D57931">
        <w:rPr>
          <w:sz w:val="28"/>
          <w:szCs w:val="28"/>
          <w:lang w:val="uk-UA"/>
        </w:rPr>
        <w:t>інша субвенція з місцевого бюджету на підвищення кваліфікації педагогічних працівників відповідно до регіонального замовлення 239,1 тис.грн.</w:t>
      </w:r>
    </w:p>
    <w:p w:rsidR="00D57931" w:rsidRPr="00D57931" w:rsidRDefault="00D57931" w:rsidP="00D57931">
      <w:pPr>
        <w:autoSpaceDE w:val="0"/>
        <w:autoSpaceDN w:val="0"/>
        <w:adjustRightInd w:val="0"/>
        <w:spacing w:before="120" w:after="120" w:line="22" w:lineRule="atLeast"/>
        <w:ind w:firstLine="567"/>
        <w:jc w:val="center"/>
        <w:rPr>
          <w:b/>
          <w:bCs/>
          <w:sz w:val="28"/>
          <w:szCs w:val="28"/>
          <w:lang w:val="uk-UA" w:eastAsia="en-US"/>
        </w:rPr>
      </w:pPr>
      <w:r w:rsidRPr="00D57931">
        <w:rPr>
          <w:b/>
          <w:bCs/>
          <w:sz w:val="28"/>
          <w:szCs w:val="28"/>
          <w:lang w:val="uk-UA" w:eastAsia="en-US"/>
        </w:rPr>
        <w:t>ОСВІТА</w:t>
      </w:r>
    </w:p>
    <w:p w:rsidR="00D57931" w:rsidRPr="00D57931" w:rsidRDefault="00D57931" w:rsidP="00D57931">
      <w:pPr>
        <w:autoSpaceDE w:val="0"/>
        <w:autoSpaceDN w:val="0"/>
        <w:adjustRightInd w:val="0"/>
        <w:spacing w:before="120" w:after="120" w:line="22" w:lineRule="atLeast"/>
        <w:ind w:firstLine="567"/>
        <w:jc w:val="center"/>
        <w:rPr>
          <w:b/>
          <w:bCs/>
          <w:sz w:val="28"/>
          <w:szCs w:val="28"/>
          <w:lang w:val="uk-UA" w:eastAsia="en-US"/>
        </w:rPr>
      </w:pPr>
      <w:r w:rsidRPr="00D57931">
        <w:rPr>
          <w:b/>
          <w:bCs/>
          <w:sz w:val="28"/>
          <w:szCs w:val="28"/>
          <w:lang w:val="uk-UA" w:eastAsia="en-US"/>
        </w:rPr>
        <w:t>Відділ освіти, молоді та спорту Олевської міської ради</w:t>
      </w:r>
    </w:p>
    <w:p w:rsidR="00D57931" w:rsidRPr="00D57931" w:rsidRDefault="00D57931" w:rsidP="00D57931">
      <w:pPr>
        <w:autoSpaceDE w:val="0"/>
        <w:autoSpaceDN w:val="0"/>
        <w:adjustRightInd w:val="0"/>
        <w:spacing w:before="120" w:after="120" w:line="22" w:lineRule="atLeast"/>
        <w:ind w:firstLine="567"/>
        <w:jc w:val="both"/>
        <w:rPr>
          <w:sz w:val="28"/>
          <w:szCs w:val="28"/>
          <w:lang w:val="uk-UA"/>
        </w:rPr>
      </w:pPr>
      <w:r w:rsidRPr="00D57931">
        <w:rPr>
          <w:sz w:val="28"/>
          <w:szCs w:val="28"/>
          <w:lang w:val="uk-UA"/>
        </w:rPr>
        <w:t xml:space="preserve">Загальні видатки по головному розпоряднику коштів </w:t>
      </w:r>
      <w:r w:rsidRPr="00D57931">
        <w:rPr>
          <w:b/>
          <w:bCs/>
          <w:sz w:val="28"/>
          <w:szCs w:val="28"/>
          <w:lang w:val="uk-UA" w:eastAsia="en-US"/>
        </w:rPr>
        <w:t>в</w:t>
      </w:r>
      <w:r w:rsidRPr="00D57931">
        <w:rPr>
          <w:sz w:val="28"/>
          <w:szCs w:val="28"/>
          <w:lang w:val="uk-UA" w:eastAsia="en-US"/>
        </w:rPr>
        <w:t>ідділ освіти, молоді та спорту Олевської міської ради</w:t>
      </w:r>
      <w:r w:rsidRPr="00D57931">
        <w:rPr>
          <w:sz w:val="28"/>
          <w:szCs w:val="28"/>
          <w:lang w:val="uk-UA"/>
        </w:rPr>
        <w:t xml:space="preserve"> становлять </w:t>
      </w:r>
      <w:r w:rsidR="004F45F3">
        <w:rPr>
          <w:sz w:val="28"/>
          <w:szCs w:val="28"/>
          <w:lang w:val="uk-UA"/>
        </w:rPr>
        <w:t>215204,9</w:t>
      </w:r>
      <w:r w:rsidRPr="00D57931">
        <w:rPr>
          <w:sz w:val="28"/>
          <w:szCs w:val="28"/>
          <w:lang w:val="uk-UA"/>
        </w:rPr>
        <w:t>тис.грн. З них: загальний фонд 2</w:t>
      </w:r>
      <w:r w:rsidR="004F45F3">
        <w:rPr>
          <w:sz w:val="28"/>
          <w:szCs w:val="28"/>
          <w:lang w:val="uk-UA"/>
        </w:rPr>
        <w:t>14870,8</w:t>
      </w:r>
      <w:r w:rsidRPr="00D57931">
        <w:rPr>
          <w:sz w:val="28"/>
          <w:szCs w:val="28"/>
          <w:lang w:val="uk-UA"/>
        </w:rPr>
        <w:t xml:space="preserve"> тис. грн., спеціальний фонд </w:t>
      </w:r>
      <w:r w:rsidR="004F45F3">
        <w:rPr>
          <w:sz w:val="28"/>
          <w:szCs w:val="28"/>
          <w:lang w:val="uk-UA"/>
        </w:rPr>
        <w:t>334,1</w:t>
      </w:r>
      <w:r w:rsidRPr="00D57931">
        <w:rPr>
          <w:sz w:val="28"/>
          <w:szCs w:val="28"/>
          <w:lang w:val="uk-UA"/>
        </w:rPr>
        <w:t xml:space="preserve"> тис. грн.</w:t>
      </w:r>
    </w:p>
    <w:p w:rsidR="00D57931" w:rsidRPr="00D57931" w:rsidRDefault="00D57931" w:rsidP="00D57931">
      <w:pPr>
        <w:ind w:firstLine="567"/>
        <w:jc w:val="both"/>
        <w:rPr>
          <w:sz w:val="28"/>
          <w:szCs w:val="28"/>
          <w:lang w:val="uk-UA"/>
        </w:rPr>
      </w:pPr>
      <w:r w:rsidRPr="00D57931">
        <w:rPr>
          <w:sz w:val="28"/>
          <w:szCs w:val="28"/>
        </w:rPr>
        <w:t>За рахуноккоштівбюджетубудутьутриму</w:t>
      </w:r>
      <w:r w:rsidR="00315BE6">
        <w:rPr>
          <w:sz w:val="28"/>
          <w:szCs w:val="28"/>
        </w:rPr>
        <w:t>ва</w:t>
      </w:r>
      <w:r w:rsidRPr="00D57931">
        <w:rPr>
          <w:sz w:val="28"/>
          <w:szCs w:val="28"/>
        </w:rPr>
        <w:t>т</w:t>
      </w:r>
      <w:r w:rsidR="00315BE6">
        <w:rPr>
          <w:sz w:val="28"/>
          <w:szCs w:val="28"/>
        </w:rPr>
        <w:t>и</w:t>
      </w:r>
      <w:r w:rsidRPr="00D57931">
        <w:rPr>
          <w:sz w:val="28"/>
          <w:szCs w:val="28"/>
        </w:rPr>
        <w:t>сянаступні установи освіти:</w:t>
      </w:r>
    </w:p>
    <w:p w:rsidR="00D57931" w:rsidRPr="00D57931" w:rsidRDefault="00D57931" w:rsidP="00D57931">
      <w:pPr>
        <w:numPr>
          <w:ilvl w:val="0"/>
          <w:numId w:val="15"/>
        </w:numPr>
        <w:ind w:left="0" w:firstLine="567"/>
        <w:jc w:val="both"/>
        <w:rPr>
          <w:color w:val="FF0000"/>
          <w:sz w:val="28"/>
          <w:szCs w:val="28"/>
          <w:lang w:val="uk-UA" w:eastAsia="en-US"/>
        </w:rPr>
      </w:pPr>
      <w:r w:rsidRPr="00D57931">
        <w:rPr>
          <w:sz w:val="28"/>
          <w:szCs w:val="28"/>
          <w:lang w:val="uk-UA"/>
        </w:rPr>
        <w:t xml:space="preserve"> гімназія, 2 навчально-виховних комплекси, 1 ОНЗ біотехнічний ліцей «Радовель», ПоясківськафіліяІ – ІІступенів, ОНЗ БТЛ «Радовель», 30 загальноосвітн</w:t>
      </w:r>
      <w:r w:rsidR="00315BE6">
        <w:rPr>
          <w:sz w:val="28"/>
          <w:szCs w:val="28"/>
          <w:lang w:val="uk-UA"/>
        </w:rPr>
        <w:t>іх</w:t>
      </w:r>
      <w:r w:rsidRPr="00D57931">
        <w:rPr>
          <w:sz w:val="28"/>
          <w:szCs w:val="28"/>
          <w:lang w:val="uk-UA"/>
        </w:rPr>
        <w:t xml:space="preserve"> шк</w:t>
      </w:r>
      <w:r w:rsidR="00315BE6">
        <w:rPr>
          <w:sz w:val="28"/>
          <w:szCs w:val="28"/>
          <w:lang w:val="uk-UA"/>
        </w:rPr>
        <w:t>і</w:t>
      </w:r>
      <w:r w:rsidRPr="00D57931">
        <w:rPr>
          <w:sz w:val="28"/>
          <w:szCs w:val="28"/>
          <w:lang w:val="uk-UA"/>
        </w:rPr>
        <w:t>л, Центр дитячої та юнацької творчості, міжшкільний навчально-виробничий комбінат, централізована бухгалтерія -1, інклюзивно-ресурсний центр -1, Дитячо-юнацька спортивна школа (ДЮСШ)-1, проведення навчально-тренувальних зборів і змагань з олімпійських видів спорту, фінансова підтримка на утримання місцевих осередків (рад) всеукраїнських організацій фізкультурно- спортивної спрямованості ФСТ «Колос» -1, апарат управління -1.</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Надання загальної середньої освіти закладами загальної середньої освіти– 40</w:t>
      </w:r>
      <w:r w:rsidR="008C3673">
        <w:rPr>
          <w:sz w:val="28"/>
          <w:szCs w:val="28"/>
          <w:lang w:val="uk-UA" w:eastAsia="en-US"/>
        </w:rPr>
        <w:t> 002,7</w:t>
      </w:r>
      <w:r w:rsidRPr="00D57931">
        <w:rPr>
          <w:sz w:val="28"/>
          <w:szCs w:val="28"/>
          <w:lang w:val="uk-UA" w:eastAsia="en-US"/>
        </w:rPr>
        <w:t xml:space="preserve"> тис. грн. (загальний фонд – </w:t>
      </w:r>
      <w:r w:rsidR="008C3673">
        <w:rPr>
          <w:sz w:val="28"/>
          <w:szCs w:val="28"/>
          <w:lang w:val="uk-UA" w:eastAsia="en-US"/>
        </w:rPr>
        <w:t>39 965,6</w:t>
      </w:r>
      <w:r w:rsidRPr="00D57931">
        <w:rPr>
          <w:sz w:val="28"/>
          <w:szCs w:val="28"/>
          <w:lang w:val="uk-UA" w:eastAsia="en-US"/>
        </w:rPr>
        <w:t xml:space="preserve"> тис. грн.,спеціальний фонд – 37,1тис. грн.). </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lastRenderedPageBreak/>
        <w:t>Надання загальної середньої освіти закладами загальної середньої освіти освітня субвенція -16</w:t>
      </w:r>
      <w:r w:rsidR="007E44DC">
        <w:rPr>
          <w:sz w:val="28"/>
          <w:szCs w:val="28"/>
          <w:lang w:val="uk-UA" w:eastAsia="en-US"/>
        </w:rPr>
        <w:t>0 555,4</w:t>
      </w:r>
      <w:r w:rsidRPr="00D57931">
        <w:rPr>
          <w:sz w:val="28"/>
          <w:szCs w:val="28"/>
          <w:lang w:val="uk-UA" w:eastAsia="en-US"/>
        </w:rPr>
        <w:t xml:space="preserve">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Надання позашкільної освіти закладами позашкільними освіти, заходи із позашкільної роботи з дітьми – 2 495,5 тис. грн. (загальний фонд – 2 492,5 тис. грн., спеціальний фонд – 3,00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Забезпечення діяльності інших закладів у сфері освіти – 5292,0 тис. грн. тис. грн. (загальний фонд – 5192,0 тис. грн., спеціальний фонд – 100,0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Інші програми та заходи у сфері освіти  загальний фонд – 26,9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Забезпечення діяльності інклюзивно-ресурсних центрів за рахунок коштів місцевого бюджету 249,7 тис. грн. (загальний фонд –  249,7 тис. грн.</w:t>
      </w:r>
      <w:r w:rsidR="00640089">
        <w:rPr>
          <w:sz w:val="28"/>
          <w:szCs w:val="28"/>
          <w:lang w:val="uk-UA" w:eastAsia="en-US"/>
        </w:rPr>
        <w:t xml:space="preserve"> із них інша субвенція із Білокоровицької ТГ - 34,9 тис. грн.)</w:t>
      </w:r>
    </w:p>
    <w:p w:rsid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 xml:space="preserve"> Забезпечення діяльності інклюзивно-ресурсних центрів за рахунок освітн</w:t>
      </w:r>
      <w:r w:rsidR="00640089">
        <w:rPr>
          <w:sz w:val="28"/>
          <w:szCs w:val="28"/>
          <w:lang w:val="uk-UA" w:eastAsia="en-US"/>
        </w:rPr>
        <w:t>ь</w:t>
      </w:r>
      <w:r w:rsidRPr="00D57931">
        <w:rPr>
          <w:sz w:val="28"/>
          <w:szCs w:val="28"/>
          <w:lang w:val="uk-UA" w:eastAsia="en-US"/>
        </w:rPr>
        <w:t xml:space="preserve">ої субвенції </w:t>
      </w:r>
      <w:r w:rsidR="00640089">
        <w:rPr>
          <w:sz w:val="28"/>
          <w:szCs w:val="28"/>
          <w:lang w:val="uk-UA" w:eastAsia="en-US"/>
        </w:rPr>
        <w:t>378,4</w:t>
      </w:r>
      <w:r w:rsidRPr="00D57931">
        <w:rPr>
          <w:sz w:val="28"/>
          <w:szCs w:val="28"/>
          <w:lang w:val="uk-UA" w:eastAsia="en-US"/>
        </w:rPr>
        <w:t xml:space="preserve"> тис. грн. на заробітну плату з нарахуваннями педагогічних працівників інклюзивно-ресурсних центрів.</w:t>
      </w:r>
    </w:p>
    <w:p w:rsidR="00755244" w:rsidRDefault="00755244" w:rsidP="00755244">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4F45F3">
        <w:rPr>
          <w:sz w:val="28"/>
          <w:szCs w:val="28"/>
          <w:lang w:val="uk-UA" w:eastAsia="en-US"/>
        </w:rPr>
        <w:t xml:space="preserve">Надання </w:t>
      </w:r>
      <w:r w:rsidRPr="004F45F3">
        <w:rPr>
          <w:sz w:val="28"/>
          <w:szCs w:val="28"/>
          <w:lang w:val="uk-UA"/>
        </w:rPr>
        <w:t>освіти за рахунок субвенції з державного бюджету місцевим бюджетам на надання державної підтримки особам з особливими освітніми потребам -758,4 тис. грн. (загальний фонд -564,4 тис. грн. видатки розвитку – 194,0 тис. грн.</w:t>
      </w:r>
    </w:p>
    <w:p w:rsidR="004F45F3" w:rsidRPr="004F45F3" w:rsidRDefault="004F45F3" w:rsidP="004F45F3">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4F45F3">
        <w:rPr>
          <w:sz w:val="28"/>
          <w:szCs w:val="28"/>
          <w:lang w:val="uk-UA"/>
        </w:rPr>
        <w:t xml:space="preserve"> Оздоровлення громадян, які постраждали внаслідок Чорнобильської катастрофи</w:t>
      </w:r>
      <w:r>
        <w:rPr>
          <w:sz w:val="28"/>
          <w:szCs w:val="28"/>
          <w:lang w:val="uk-UA"/>
        </w:rPr>
        <w:t xml:space="preserve"> 326,0 тис.грн.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Проведення навчально-тренувальних зборів і змагань з олімпійських видів спорту – 60,0 тис. грн. (загальний фонд – 60,0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Утримання та навчально-тренувальна робота комунальних дитячо-юнацьких спортивних шкіл – 2 220,0 тис. грн. (загальний фонд – 2 220,0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Фінансова підтримка на утримання місцевих осередків (рад) всеукраїнських організацій фізкультурно-спортивної спрямованості – 300,0 тис. грн. (загальний фонд – 300,0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Керівництво і управління у відповідній сфері у містах (місті Києві), селищах, селах, об`єднаних територіальних громадах – 2 539,9 тис. грн. (загальний фонд – 2 539,9 тис. грн.)</w:t>
      </w:r>
    </w:p>
    <w:p w:rsidR="00D57931" w:rsidRPr="00D57931" w:rsidRDefault="00D57931" w:rsidP="00D57931">
      <w:pPr>
        <w:ind w:firstLine="567"/>
        <w:jc w:val="center"/>
        <w:rPr>
          <w:b/>
          <w:sz w:val="28"/>
          <w:szCs w:val="28"/>
          <w:lang w:val="uk-UA"/>
        </w:rPr>
      </w:pPr>
      <w:r w:rsidRPr="00D57931">
        <w:rPr>
          <w:b/>
          <w:sz w:val="28"/>
          <w:szCs w:val="28"/>
          <w:lang w:val="uk-UA" w:eastAsia="en-US"/>
        </w:rPr>
        <w:t>КУЛЬТУРА</w:t>
      </w:r>
    </w:p>
    <w:p w:rsidR="00D57931" w:rsidRPr="00D57931" w:rsidRDefault="00D57931" w:rsidP="00D57931">
      <w:pPr>
        <w:autoSpaceDE w:val="0"/>
        <w:autoSpaceDN w:val="0"/>
        <w:adjustRightInd w:val="0"/>
        <w:spacing w:before="120" w:after="120" w:line="22" w:lineRule="atLeast"/>
        <w:ind w:firstLine="567"/>
        <w:jc w:val="center"/>
        <w:rPr>
          <w:b/>
          <w:bCs/>
          <w:sz w:val="28"/>
          <w:szCs w:val="28"/>
          <w:lang w:val="uk-UA" w:eastAsia="en-US"/>
        </w:rPr>
      </w:pPr>
      <w:r w:rsidRPr="00D57931">
        <w:rPr>
          <w:b/>
          <w:bCs/>
          <w:sz w:val="28"/>
          <w:szCs w:val="28"/>
          <w:lang w:val="uk-UA" w:eastAsia="en-US"/>
        </w:rPr>
        <w:t>Відділ культури та туризму Олевської міської ради</w:t>
      </w:r>
    </w:p>
    <w:p w:rsidR="00D57931" w:rsidRPr="00D57931" w:rsidRDefault="00D57931" w:rsidP="00D57931">
      <w:pPr>
        <w:ind w:firstLine="567"/>
        <w:jc w:val="both"/>
        <w:rPr>
          <w:sz w:val="28"/>
          <w:szCs w:val="28"/>
          <w:lang w:val="uk-UA"/>
        </w:rPr>
      </w:pPr>
      <w:r w:rsidRPr="00D57931">
        <w:rPr>
          <w:sz w:val="28"/>
          <w:szCs w:val="28"/>
        </w:rPr>
        <w:t>За рахуноккоштів бюджету утриму</w:t>
      </w:r>
      <w:r w:rsidRPr="00D57931">
        <w:rPr>
          <w:sz w:val="28"/>
          <w:szCs w:val="28"/>
          <w:lang w:val="uk-UA"/>
        </w:rPr>
        <w:t>ю</w:t>
      </w:r>
      <w:r w:rsidRPr="00D57931">
        <w:rPr>
          <w:sz w:val="28"/>
          <w:szCs w:val="28"/>
        </w:rPr>
        <w:t xml:space="preserve">тьсянаступні установи </w:t>
      </w:r>
      <w:r w:rsidRPr="00D57931">
        <w:rPr>
          <w:sz w:val="28"/>
          <w:szCs w:val="28"/>
          <w:lang w:val="uk-UA"/>
        </w:rPr>
        <w:t>культури</w:t>
      </w:r>
      <w:r w:rsidRPr="00D57931">
        <w:rPr>
          <w:sz w:val="28"/>
          <w:szCs w:val="28"/>
        </w:rPr>
        <w:t>:</w:t>
      </w:r>
    </w:p>
    <w:p w:rsidR="00D57931" w:rsidRPr="00D57931" w:rsidRDefault="00D57931" w:rsidP="00D57931">
      <w:pPr>
        <w:numPr>
          <w:ilvl w:val="0"/>
          <w:numId w:val="14"/>
        </w:numPr>
        <w:autoSpaceDE w:val="0"/>
        <w:autoSpaceDN w:val="0"/>
        <w:adjustRightInd w:val="0"/>
        <w:spacing w:before="120" w:after="120" w:line="22" w:lineRule="atLeast"/>
        <w:ind w:left="0" w:firstLine="567"/>
        <w:jc w:val="both"/>
        <w:rPr>
          <w:sz w:val="28"/>
          <w:szCs w:val="28"/>
          <w:lang w:val="uk-UA"/>
        </w:rPr>
      </w:pPr>
      <w:r w:rsidRPr="00D57931">
        <w:rPr>
          <w:sz w:val="28"/>
          <w:szCs w:val="28"/>
          <w:lang w:val="uk-UA"/>
        </w:rPr>
        <w:t xml:space="preserve">15 - будинків культури; </w:t>
      </w:r>
    </w:p>
    <w:p w:rsidR="00D57931" w:rsidRPr="00D57931" w:rsidRDefault="00D57931" w:rsidP="00D57931">
      <w:pPr>
        <w:numPr>
          <w:ilvl w:val="0"/>
          <w:numId w:val="14"/>
        </w:numPr>
        <w:autoSpaceDE w:val="0"/>
        <w:autoSpaceDN w:val="0"/>
        <w:adjustRightInd w:val="0"/>
        <w:spacing w:before="120" w:after="120" w:line="22" w:lineRule="atLeast"/>
        <w:ind w:left="0" w:firstLine="567"/>
        <w:jc w:val="both"/>
        <w:rPr>
          <w:sz w:val="28"/>
          <w:szCs w:val="28"/>
          <w:lang w:val="uk-UA"/>
        </w:rPr>
      </w:pPr>
      <w:r w:rsidRPr="00D57931">
        <w:rPr>
          <w:sz w:val="28"/>
          <w:szCs w:val="28"/>
          <w:lang w:val="uk-UA"/>
        </w:rPr>
        <w:t>26 - клубів;</w:t>
      </w:r>
    </w:p>
    <w:p w:rsidR="00D57931" w:rsidRPr="00D57931" w:rsidRDefault="00D57931" w:rsidP="00D57931">
      <w:pPr>
        <w:numPr>
          <w:ilvl w:val="0"/>
          <w:numId w:val="14"/>
        </w:numPr>
        <w:autoSpaceDE w:val="0"/>
        <w:autoSpaceDN w:val="0"/>
        <w:adjustRightInd w:val="0"/>
        <w:spacing w:before="120" w:after="120" w:line="22" w:lineRule="atLeast"/>
        <w:ind w:left="0" w:firstLine="567"/>
        <w:jc w:val="both"/>
        <w:rPr>
          <w:sz w:val="28"/>
          <w:szCs w:val="28"/>
          <w:lang w:val="uk-UA"/>
        </w:rPr>
      </w:pPr>
      <w:r w:rsidRPr="00D57931">
        <w:rPr>
          <w:sz w:val="28"/>
          <w:szCs w:val="28"/>
          <w:lang w:val="uk-UA"/>
        </w:rPr>
        <w:t>5 – народних колективів;</w:t>
      </w:r>
    </w:p>
    <w:p w:rsidR="00D57931" w:rsidRPr="00D57931" w:rsidRDefault="00D57931" w:rsidP="00D57931">
      <w:pPr>
        <w:numPr>
          <w:ilvl w:val="0"/>
          <w:numId w:val="14"/>
        </w:numPr>
        <w:autoSpaceDE w:val="0"/>
        <w:autoSpaceDN w:val="0"/>
        <w:adjustRightInd w:val="0"/>
        <w:spacing w:before="120" w:after="120" w:line="22" w:lineRule="atLeast"/>
        <w:ind w:left="0" w:firstLine="567"/>
        <w:jc w:val="both"/>
        <w:rPr>
          <w:sz w:val="28"/>
          <w:szCs w:val="28"/>
          <w:lang w:val="uk-UA"/>
        </w:rPr>
      </w:pPr>
      <w:r w:rsidRPr="00D57931">
        <w:rPr>
          <w:sz w:val="28"/>
          <w:szCs w:val="28"/>
          <w:lang w:val="uk-UA"/>
        </w:rPr>
        <w:t>38 - бібліотек;</w:t>
      </w:r>
    </w:p>
    <w:p w:rsidR="00D57931" w:rsidRPr="00D57931" w:rsidRDefault="00D57931" w:rsidP="00D57931">
      <w:pPr>
        <w:numPr>
          <w:ilvl w:val="0"/>
          <w:numId w:val="14"/>
        </w:numPr>
        <w:autoSpaceDE w:val="0"/>
        <w:autoSpaceDN w:val="0"/>
        <w:adjustRightInd w:val="0"/>
        <w:spacing w:before="120" w:after="120" w:line="22" w:lineRule="atLeast"/>
        <w:ind w:left="0" w:firstLine="567"/>
        <w:jc w:val="both"/>
        <w:rPr>
          <w:sz w:val="28"/>
          <w:szCs w:val="28"/>
          <w:lang w:val="uk-UA"/>
        </w:rPr>
      </w:pPr>
      <w:r w:rsidRPr="00D57931">
        <w:rPr>
          <w:sz w:val="28"/>
          <w:szCs w:val="28"/>
          <w:lang w:val="uk-UA"/>
        </w:rPr>
        <w:lastRenderedPageBreak/>
        <w:t>1 - краєзнавчий музей;</w:t>
      </w:r>
    </w:p>
    <w:p w:rsidR="00D57931" w:rsidRPr="00D57931" w:rsidRDefault="00D57931" w:rsidP="00D57931">
      <w:pPr>
        <w:numPr>
          <w:ilvl w:val="0"/>
          <w:numId w:val="14"/>
        </w:numPr>
        <w:autoSpaceDE w:val="0"/>
        <w:autoSpaceDN w:val="0"/>
        <w:adjustRightInd w:val="0"/>
        <w:spacing w:before="120" w:after="120" w:line="22" w:lineRule="atLeast"/>
        <w:ind w:left="0" w:firstLine="567"/>
        <w:jc w:val="both"/>
        <w:rPr>
          <w:sz w:val="28"/>
          <w:szCs w:val="28"/>
          <w:lang w:val="uk-UA"/>
        </w:rPr>
      </w:pPr>
      <w:r w:rsidRPr="00D57931">
        <w:rPr>
          <w:sz w:val="28"/>
          <w:szCs w:val="28"/>
          <w:lang w:val="uk-UA"/>
        </w:rPr>
        <w:t xml:space="preserve">1 - музей історії села Копище;  </w:t>
      </w:r>
    </w:p>
    <w:p w:rsidR="00D57931" w:rsidRPr="00D57931" w:rsidRDefault="00D57931" w:rsidP="00D57931">
      <w:pPr>
        <w:numPr>
          <w:ilvl w:val="0"/>
          <w:numId w:val="14"/>
        </w:numPr>
        <w:autoSpaceDE w:val="0"/>
        <w:autoSpaceDN w:val="0"/>
        <w:adjustRightInd w:val="0"/>
        <w:spacing w:before="120" w:after="120" w:line="22" w:lineRule="atLeast"/>
        <w:ind w:left="0" w:firstLine="567"/>
        <w:jc w:val="both"/>
        <w:rPr>
          <w:sz w:val="28"/>
          <w:szCs w:val="28"/>
          <w:lang w:val="uk-UA"/>
        </w:rPr>
      </w:pPr>
      <w:r w:rsidRPr="00D57931">
        <w:rPr>
          <w:sz w:val="28"/>
          <w:szCs w:val="28"/>
          <w:lang w:val="uk-UA"/>
        </w:rPr>
        <w:t xml:space="preserve">1 - музична школа;    </w:t>
      </w:r>
    </w:p>
    <w:p w:rsidR="00D57931" w:rsidRPr="00D57931" w:rsidRDefault="00D57931" w:rsidP="00D57931">
      <w:pPr>
        <w:numPr>
          <w:ilvl w:val="0"/>
          <w:numId w:val="14"/>
        </w:numPr>
        <w:autoSpaceDE w:val="0"/>
        <w:autoSpaceDN w:val="0"/>
        <w:adjustRightInd w:val="0"/>
        <w:spacing w:before="120" w:after="120" w:line="22" w:lineRule="atLeast"/>
        <w:ind w:left="0" w:firstLine="567"/>
        <w:jc w:val="both"/>
        <w:rPr>
          <w:sz w:val="28"/>
          <w:szCs w:val="28"/>
          <w:lang w:val="uk-UA"/>
        </w:rPr>
      </w:pPr>
      <w:r w:rsidRPr="00D57931">
        <w:rPr>
          <w:sz w:val="28"/>
          <w:szCs w:val="28"/>
          <w:lang w:val="uk-UA"/>
        </w:rPr>
        <w:t>1 - централізована бухгалтерія.</w:t>
      </w:r>
    </w:p>
    <w:p w:rsidR="00D57931" w:rsidRPr="00D57931" w:rsidRDefault="00D57931" w:rsidP="00D57931">
      <w:pPr>
        <w:ind w:firstLine="567"/>
        <w:jc w:val="both"/>
        <w:rPr>
          <w:sz w:val="28"/>
          <w:szCs w:val="28"/>
          <w:lang w:val="uk-UA"/>
        </w:rPr>
      </w:pPr>
    </w:p>
    <w:p w:rsidR="00D57931" w:rsidRPr="00D57931" w:rsidRDefault="00D57931" w:rsidP="00D57931">
      <w:pPr>
        <w:ind w:firstLine="567"/>
        <w:jc w:val="both"/>
        <w:rPr>
          <w:sz w:val="28"/>
          <w:szCs w:val="28"/>
        </w:rPr>
      </w:pPr>
      <w:r w:rsidRPr="00D57931">
        <w:rPr>
          <w:sz w:val="28"/>
          <w:szCs w:val="28"/>
        </w:rPr>
        <w:t>Загальнівидатки</w:t>
      </w:r>
      <w:r w:rsidRPr="00D57931">
        <w:rPr>
          <w:sz w:val="28"/>
          <w:szCs w:val="28"/>
          <w:lang w:val="uk-UA"/>
        </w:rPr>
        <w:t xml:space="preserve"> по відділу культури та мистецтва Олев</w:t>
      </w:r>
      <w:r w:rsidRPr="00D57931">
        <w:rPr>
          <w:sz w:val="28"/>
          <w:szCs w:val="28"/>
          <w:lang w:val="uk-UA" w:eastAsia="en-US"/>
        </w:rPr>
        <w:t xml:space="preserve">ської міської ради </w:t>
      </w:r>
      <w:r w:rsidRPr="00D57931">
        <w:rPr>
          <w:sz w:val="28"/>
          <w:szCs w:val="28"/>
        </w:rPr>
        <w:t>становлять</w:t>
      </w:r>
      <w:r w:rsidRPr="00D57931">
        <w:rPr>
          <w:sz w:val="28"/>
          <w:szCs w:val="28"/>
          <w:lang w:val="uk-UA"/>
        </w:rPr>
        <w:t xml:space="preserve"> 17 100,6 тис.</w:t>
      </w:r>
      <w:r w:rsidRPr="00D57931">
        <w:rPr>
          <w:sz w:val="28"/>
          <w:szCs w:val="28"/>
        </w:rPr>
        <w:t xml:space="preserve">грн. З них: загальний фонд </w:t>
      </w:r>
      <w:r w:rsidRPr="00D57931">
        <w:rPr>
          <w:sz w:val="28"/>
          <w:szCs w:val="28"/>
          <w:lang w:val="uk-UA"/>
        </w:rPr>
        <w:t>16 986,0 тис. грн.</w:t>
      </w:r>
      <w:r w:rsidRPr="00D57931">
        <w:rPr>
          <w:sz w:val="28"/>
          <w:szCs w:val="28"/>
        </w:rPr>
        <w:t xml:space="preserve">, </w:t>
      </w:r>
      <w:r w:rsidRPr="00D57931">
        <w:rPr>
          <w:sz w:val="28"/>
          <w:szCs w:val="28"/>
          <w:lang w:val="uk-UA"/>
        </w:rPr>
        <w:t>спеціальний фонд 114,6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Забезпечення діяльності бібліотек – 3 839,2 тис. грн. (загальний фонд – 3 838,0 тис. грн., спеціальний фонд – 1,2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Забезпечення діяльності музеїв i виставок – 388,0 тис. грн. (загальний фонд – 386,0 тис. грн. спеціальний фонд – 2,0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Забезпечення діяльності палаців i будинків культури, клубів, центрів дозвілля та iнших клубних закладів – 7 288,2 тис. грн. (загальний фонд – 7 214,0 тис. грн., спеціальний фонд – 74,2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Надання спеціальної освіти мистецькими школами – 3 722,2 тис. грн. (загальний фонд – 3 685,0  тис. грн., спеціальний фонд – 37,2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Забезпечення діяльності інших закладів в галузі культури і мистецтва – 977,0 тис. грн. (загальний фонд – 977,0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Інші заходи в галузі культури і мистецтва -6,00 тис. грн. (загальний фонд – 6,00 тис. грн.)</w:t>
      </w:r>
    </w:p>
    <w:p w:rsidR="00D57931" w:rsidRPr="00D57931" w:rsidRDefault="00D57931" w:rsidP="00D57931">
      <w:pPr>
        <w:numPr>
          <w:ilvl w:val="0"/>
          <w:numId w:val="1"/>
        </w:numPr>
        <w:tabs>
          <w:tab w:val="clear" w:pos="2201"/>
          <w:tab w:val="num" w:pos="0"/>
        </w:tabs>
        <w:autoSpaceDE w:val="0"/>
        <w:autoSpaceDN w:val="0"/>
        <w:adjustRightInd w:val="0"/>
        <w:spacing w:before="120" w:after="120" w:line="22" w:lineRule="atLeast"/>
        <w:ind w:left="0" w:firstLine="567"/>
        <w:jc w:val="both"/>
        <w:rPr>
          <w:sz w:val="28"/>
          <w:szCs w:val="28"/>
          <w:lang w:val="uk-UA" w:eastAsia="en-US"/>
        </w:rPr>
      </w:pPr>
      <w:r w:rsidRPr="00D57931">
        <w:rPr>
          <w:sz w:val="28"/>
          <w:szCs w:val="28"/>
          <w:lang w:val="uk-UA" w:eastAsia="en-US"/>
        </w:rPr>
        <w:t>Керівництво і управління у відповідній сфері у містах (місті Києві), селищах, селах, об`єднаних територіальних громадах – 880,0 тис. грн. (загальний фонд – 880,0 тис. грн.).</w:t>
      </w:r>
    </w:p>
    <w:p w:rsidR="00A8190B" w:rsidRPr="00D57931" w:rsidRDefault="00A8190B" w:rsidP="00A8190B">
      <w:pPr>
        <w:autoSpaceDE w:val="0"/>
        <w:autoSpaceDN w:val="0"/>
        <w:adjustRightInd w:val="0"/>
        <w:spacing w:before="120" w:after="120" w:line="22" w:lineRule="atLeast"/>
        <w:ind w:firstLine="567"/>
        <w:jc w:val="center"/>
        <w:rPr>
          <w:b/>
          <w:sz w:val="28"/>
          <w:szCs w:val="28"/>
          <w:lang w:val="uk-UA" w:eastAsia="en-US"/>
        </w:rPr>
      </w:pPr>
      <w:r w:rsidRPr="00D57931">
        <w:rPr>
          <w:b/>
          <w:sz w:val="28"/>
          <w:szCs w:val="28"/>
          <w:lang w:val="uk-UA" w:eastAsia="en-US"/>
        </w:rPr>
        <w:t>Міжбюджетні відносини</w:t>
      </w:r>
    </w:p>
    <w:p w:rsidR="00A8190B" w:rsidRPr="00D57931" w:rsidRDefault="00A8190B" w:rsidP="00A8190B">
      <w:pPr>
        <w:ind w:firstLine="567"/>
        <w:jc w:val="both"/>
        <w:rPr>
          <w:sz w:val="28"/>
          <w:szCs w:val="28"/>
          <w:lang w:val="uk-UA" w:eastAsia="en-US"/>
        </w:rPr>
      </w:pPr>
      <w:bookmarkStart w:id="0" w:name="_GoBack"/>
      <w:bookmarkEnd w:id="0"/>
      <w:r w:rsidRPr="00D57931">
        <w:rPr>
          <w:sz w:val="28"/>
          <w:szCs w:val="28"/>
          <w:lang w:val="uk-UA" w:eastAsia="en-US"/>
        </w:rPr>
        <w:t xml:space="preserve">     Відповідно до частини дев’ятої статті 75 Бюджетного кодексу України бюджету Олевської міської  територіальної громади передбачено міжбюджетні трансферти з де</w:t>
      </w:r>
      <w:r>
        <w:rPr>
          <w:sz w:val="28"/>
          <w:szCs w:val="28"/>
          <w:lang w:val="uk-UA" w:eastAsia="en-US"/>
        </w:rPr>
        <w:t>ржавного бюджету в сумі 198961,8</w:t>
      </w:r>
      <w:r w:rsidRPr="00D57931">
        <w:rPr>
          <w:sz w:val="28"/>
          <w:szCs w:val="28"/>
          <w:lang w:val="uk-UA" w:eastAsia="en-US"/>
        </w:rPr>
        <w:t>тис.грн..</w:t>
      </w:r>
    </w:p>
    <w:p w:rsidR="00A8190B" w:rsidRPr="00D57931" w:rsidRDefault="00A8190B" w:rsidP="00A8190B">
      <w:pPr>
        <w:ind w:firstLine="567"/>
        <w:jc w:val="both"/>
        <w:rPr>
          <w:sz w:val="28"/>
          <w:szCs w:val="28"/>
          <w:lang w:val="uk-UA" w:eastAsia="en-US"/>
        </w:rPr>
      </w:pPr>
    </w:p>
    <w:p w:rsidR="00A8190B" w:rsidRPr="00D57931" w:rsidRDefault="00A8190B" w:rsidP="00A8190B">
      <w:pPr>
        <w:ind w:firstLine="567"/>
        <w:jc w:val="both"/>
        <w:rPr>
          <w:sz w:val="28"/>
          <w:szCs w:val="28"/>
          <w:lang w:val="uk-UA"/>
        </w:rPr>
      </w:pPr>
      <w:r>
        <w:rPr>
          <w:sz w:val="28"/>
          <w:szCs w:val="28"/>
          <w:lang w:val="uk-UA"/>
        </w:rPr>
        <w:t>З обласного бюджету  2510,6</w:t>
      </w:r>
      <w:r w:rsidRPr="00D57931">
        <w:rPr>
          <w:sz w:val="28"/>
          <w:szCs w:val="28"/>
          <w:lang w:val="uk-UA"/>
        </w:rPr>
        <w:t>тис.грн., бюджету Білокоровицької сільс</w:t>
      </w:r>
      <w:r>
        <w:rPr>
          <w:sz w:val="28"/>
          <w:szCs w:val="28"/>
          <w:lang w:val="uk-UA"/>
        </w:rPr>
        <w:t>ької територіальної громади – 701,3</w:t>
      </w:r>
      <w:r w:rsidRPr="00D57931">
        <w:rPr>
          <w:sz w:val="28"/>
          <w:szCs w:val="28"/>
          <w:lang w:val="uk-UA"/>
        </w:rPr>
        <w:t xml:space="preserve"> тис. грн.. </w:t>
      </w:r>
    </w:p>
    <w:p w:rsidR="00D57931" w:rsidRPr="00D57931" w:rsidRDefault="00D57931" w:rsidP="00D57931">
      <w:pPr>
        <w:ind w:firstLine="567"/>
        <w:jc w:val="both"/>
        <w:rPr>
          <w:b/>
          <w:color w:val="FF0000"/>
          <w:sz w:val="28"/>
          <w:szCs w:val="28"/>
          <w:lang w:val="uk-UA"/>
        </w:rPr>
      </w:pPr>
    </w:p>
    <w:p w:rsidR="00D57931" w:rsidRPr="00D57931" w:rsidRDefault="00D57931" w:rsidP="00D57931">
      <w:pPr>
        <w:autoSpaceDE w:val="0"/>
        <w:autoSpaceDN w:val="0"/>
        <w:adjustRightInd w:val="0"/>
        <w:spacing w:before="120" w:after="120" w:line="22" w:lineRule="atLeast"/>
        <w:ind w:firstLine="567"/>
        <w:jc w:val="center"/>
        <w:rPr>
          <w:b/>
          <w:sz w:val="28"/>
          <w:szCs w:val="28"/>
          <w:lang w:val="uk-UA" w:eastAsia="en-US"/>
        </w:rPr>
      </w:pPr>
      <w:r w:rsidRPr="00D57931">
        <w:rPr>
          <w:b/>
          <w:sz w:val="28"/>
          <w:szCs w:val="28"/>
          <w:lang w:val="uk-UA" w:eastAsia="en-US"/>
        </w:rPr>
        <w:t>Інвестиційні проекти</w:t>
      </w:r>
    </w:p>
    <w:p w:rsidR="00D57931" w:rsidRDefault="00D57931" w:rsidP="00D57931">
      <w:pPr>
        <w:autoSpaceDE w:val="0"/>
        <w:autoSpaceDN w:val="0"/>
        <w:adjustRightInd w:val="0"/>
        <w:spacing w:before="120" w:after="120" w:line="22" w:lineRule="atLeast"/>
        <w:ind w:firstLine="567"/>
        <w:jc w:val="both"/>
        <w:rPr>
          <w:sz w:val="28"/>
          <w:szCs w:val="28"/>
          <w:lang w:val="uk-UA" w:eastAsia="en-US"/>
        </w:rPr>
      </w:pPr>
      <w:r w:rsidRPr="00D57931">
        <w:rPr>
          <w:sz w:val="28"/>
          <w:szCs w:val="28"/>
          <w:lang w:val="uk-UA" w:eastAsia="en-US"/>
        </w:rPr>
        <w:t xml:space="preserve">На 2022 рік надходження до бюджету </w:t>
      </w:r>
      <w:r w:rsidR="00A97AB9">
        <w:rPr>
          <w:sz w:val="28"/>
          <w:szCs w:val="28"/>
          <w:lang w:val="uk-UA" w:eastAsia="en-US"/>
        </w:rPr>
        <w:t>розвитку в сумі 500,0 тис.грн.</w:t>
      </w:r>
      <w:r w:rsidRPr="00D57931">
        <w:rPr>
          <w:sz w:val="28"/>
          <w:szCs w:val="28"/>
          <w:lang w:val="uk-UA" w:eastAsia="en-US"/>
        </w:rPr>
        <w:t xml:space="preserve"> планується направити на реконструкцію станції 2-го підйому (І-черга) із застосуванням новітніх технологій та встановлення обладнання з доочистки та знезалізнення питної води в системі централізованого водопостачання по вул.Промисловам.ОлевськЖитомирської області</w:t>
      </w:r>
      <w:r w:rsidR="00A97AB9">
        <w:rPr>
          <w:sz w:val="28"/>
          <w:szCs w:val="28"/>
          <w:lang w:val="uk-UA" w:eastAsia="en-US"/>
        </w:rPr>
        <w:t>.</w:t>
      </w:r>
    </w:p>
    <w:p w:rsidR="008A5B78" w:rsidRPr="00D57931" w:rsidRDefault="008A5B78" w:rsidP="00D57931">
      <w:pPr>
        <w:autoSpaceDE w:val="0"/>
        <w:autoSpaceDN w:val="0"/>
        <w:adjustRightInd w:val="0"/>
        <w:spacing w:before="120" w:after="120" w:line="22" w:lineRule="atLeast"/>
        <w:ind w:firstLine="567"/>
        <w:jc w:val="both"/>
        <w:rPr>
          <w:sz w:val="28"/>
          <w:szCs w:val="28"/>
          <w:lang w:val="uk-UA" w:eastAsia="en-US"/>
        </w:rPr>
      </w:pPr>
    </w:p>
    <w:p w:rsidR="00D57931" w:rsidRPr="00D57931" w:rsidRDefault="00D57931" w:rsidP="00D57931">
      <w:pPr>
        <w:autoSpaceDE w:val="0"/>
        <w:autoSpaceDN w:val="0"/>
        <w:adjustRightInd w:val="0"/>
        <w:spacing w:before="120" w:after="120" w:line="22" w:lineRule="atLeast"/>
        <w:ind w:firstLine="567"/>
        <w:jc w:val="center"/>
        <w:rPr>
          <w:b/>
          <w:sz w:val="28"/>
          <w:szCs w:val="28"/>
          <w:lang w:val="uk-UA" w:eastAsia="en-US"/>
        </w:rPr>
      </w:pPr>
      <w:r w:rsidRPr="00D57931">
        <w:rPr>
          <w:b/>
          <w:sz w:val="28"/>
          <w:szCs w:val="28"/>
          <w:lang w:val="uk-UA" w:eastAsia="en-US"/>
        </w:rPr>
        <w:t>МІСЦЕВІ ЗАПОЗИЧЕННЯ</w:t>
      </w:r>
    </w:p>
    <w:p w:rsidR="00D57931" w:rsidRPr="00D57931" w:rsidRDefault="00D57931" w:rsidP="00D57931">
      <w:pPr>
        <w:autoSpaceDE w:val="0"/>
        <w:autoSpaceDN w:val="0"/>
        <w:adjustRightInd w:val="0"/>
        <w:spacing w:before="120" w:after="120" w:line="22" w:lineRule="atLeast"/>
        <w:ind w:firstLine="567"/>
        <w:jc w:val="both"/>
        <w:rPr>
          <w:sz w:val="16"/>
          <w:szCs w:val="16"/>
          <w:lang w:val="uk-UA" w:eastAsia="en-US"/>
        </w:rPr>
      </w:pPr>
    </w:p>
    <w:p w:rsidR="00D57931" w:rsidRPr="00D57931" w:rsidRDefault="00D57931" w:rsidP="00D57931">
      <w:pPr>
        <w:ind w:firstLine="567"/>
        <w:jc w:val="both"/>
        <w:rPr>
          <w:sz w:val="28"/>
          <w:szCs w:val="28"/>
          <w:lang w:val="uk-UA" w:eastAsia="en-US"/>
        </w:rPr>
      </w:pPr>
      <w:r w:rsidRPr="00D57931">
        <w:rPr>
          <w:sz w:val="28"/>
          <w:szCs w:val="28"/>
          <w:lang w:val="uk-UA"/>
        </w:rPr>
        <w:t>З метою фінансування інвестиційного проєкту «Капітальний ремонт мереж вуличного освітлення Олевської об’єднаної територіальної громади», керуючись ст. 143 Конституції України, ст. ст. 16, 74 Бюджетного Кодексу України, ст. 26 Закону України «Про місцеве самоврядування в Україні», Постановою Кабінету Міністрів України від 16.02.2011 року №110 «Про затвердження Порядку здійснення місцевих запозичень», міська рада протягом 2019-2020 років здійснила зовнішнє місцеве запозичення, шляхом залучення кредиту Північної екологічної фінансової корпорації (НЕФКО) в сумі 12 322,9 тис.грн. Метою запозичення  було фінансування впровадження заходів про</w:t>
      </w:r>
      <w:r w:rsidR="00377A3A">
        <w:rPr>
          <w:sz w:val="28"/>
          <w:szCs w:val="28"/>
          <w:lang w:val="uk-UA"/>
        </w:rPr>
        <w:t>є</w:t>
      </w:r>
      <w:r w:rsidRPr="00D57931">
        <w:rPr>
          <w:sz w:val="28"/>
          <w:szCs w:val="28"/>
          <w:lang w:val="uk-UA"/>
        </w:rPr>
        <w:t>кту «Капітальний ремонт мереж вуличного освітлення Олевської об’єднаної територіальної громади».</w:t>
      </w:r>
    </w:p>
    <w:p w:rsidR="008B0B57" w:rsidRDefault="00D57931" w:rsidP="008B0B57">
      <w:pPr>
        <w:tabs>
          <w:tab w:val="left" w:pos="709"/>
        </w:tabs>
        <w:spacing w:before="120" w:after="120"/>
        <w:ind w:firstLine="567"/>
        <w:jc w:val="both"/>
        <w:rPr>
          <w:sz w:val="28"/>
          <w:szCs w:val="28"/>
          <w:lang w:val="uk-UA"/>
        </w:rPr>
      </w:pPr>
      <w:r w:rsidRPr="00D57931">
        <w:rPr>
          <w:sz w:val="28"/>
          <w:szCs w:val="28"/>
          <w:lang w:val="uk-UA" w:eastAsia="en-US"/>
        </w:rPr>
        <w:tab/>
        <w:t xml:space="preserve">На 2022 рік </w:t>
      </w:r>
      <w:r w:rsidRPr="00D57931">
        <w:rPr>
          <w:sz w:val="28"/>
          <w:szCs w:val="28"/>
          <w:lang w:val="uk-UA"/>
        </w:rPr>
        <w:t xml:space="preserve">витрати бюджету Олевської міської територіальної громади на обслуговування боргу складуть 150,6 тис.грн., </w:t>
      </w:r>
      <w:r w:rsidRPr="00D57931">
        <w:rPr>
          <w:sz w:val="28"/>
          <w:szCs w:val="28"/>
        </w:rPr>
        <w:t>видатк</w:t>
      </w:r>
      <w:r w:rsidRPr="00D57931">
        <w:rPr>
          <w:sz w:val="28"/>
          <w:szCs w:val="28"/>
          <w:lang w:val="uk-UA"/>
        </w:rPr>
        <w:t>и</w:t>
      </w:r>
      <w:r w:rsidRPr="00D57931">
        <w:rPr>
          <w:sz w:val="28"/>
          <w:szCs w:val="28"/>
        </w:rPr>
        <w:t xml:space="preserve"> на погашеннямісцевого боргу</w:t>
      </w:r>
      <w:r w:rsidRPr="00D57931">
        <w:rPr>
          <w:sz w:val="28"/>
          <w:szCs w:val="28"/>
          <w:lang w:val="uk-UA"/>
        </w:rPr>
        <w:t xml:space="preserve"> – 3 602,8 тис.грн.,граничний обсяг місцевого боргу станом на 31.12.2022 року становит</w:t>
      </w:r>
      <w:r w:rsidR="008B0B57">
        <w:rPr>
          <w:sz w:val="28"/>
          <w:szCs w:val="28"/>
          <w:lang w:val="uk-UA"/>
        </w:rPr>
        <w:t>име 2702,1 тис.гривень.</w:t>
      </w:r>
    </w:p>
    <w:p w:rsidR="008A5B78" w:rsidRDefault="008A5B78" w:rsidP="008B0B57">
      <w:pPr>
        <w:tabs>
          <w:tab w:val="left" w:pos="709"/>
        </w:tabs>
        <w:spacing w:before="120" w:after="120"/>
        <w:jc w:val="both"/>
        <w:rPr>
          <w:sz w:val="28"/>
          <w:szCs w:val="28"/>
          <w:lang w:val="uk-UA"/>
        </w:rPr>
      </w:pPr>
    </w:p>
    <w:p w:rsidR="00D57931" w:rsidRPr="00D57931" w:rsidRDefault="008B0B57" w:rsidP="008B0B57">
      <w:pPr>
        <w:tabs>
          <w:tab w:val="left" w:pos="709"/>
        </w:tabs>
        <w:spacing w:before="120" w:after="120"/>
        <w:jc w:val="both"/>
        <w:rPr>
          <w:sz w:val="28"/>
          <w:szCs w:val="28"/>
          <w:lang w:val="uk-UA"/>
        </w:rPr>
      </w:pPr>
      <w:r>
        <w:rPr>
          <w:sz w:val="28"/>
          <w:szCs w:val="28"/>
          <w:lang w:val="uk-UA"/>
        </w:rPr>
        <w:t>Н</w:t>
      </w:r>
      <w:r w:rsidR="00D57931" w:rsidRPr="00D57931">
        <w:rPr>
          <w:sz w:val="28"/>
          <w:szCs w:val="28"/>
          <w:lang w:val="uk-UA" w:eastAsia="en-US"/>
        </w:rPr>
        <w:t>ачальник фінансового управління                                           Катерина ГОРПИНІЧ</w:t>
      </w:r>
    </w:p>
    <w:p w:rsidR="00820A21" w:rsidRPr="00012037" w:rsidRDefault="00820A21" w:rsidP="00D57931">
      <w:pPr>
        <w:pStyle w:val="af"/>
        <w:spacing w:after="120"/>
        <w:jc w:val="center"/>
        <w:rPr>
          <w:sz w:val="28"/>
          <w:szCs w:val="28"/>
          <w:lang w:val="uk-UA"/>
        </w:rPr>
      </w:pPr>
    </w:p>
    <w:sectPr w:rsidR="00820A21" w:rsidRPr="00012037" w:rsidSect="00AC5491">
      <w:headerReference w:type="default" r:id="rId19"/>
      <w:pgSz w:w="11906" w:h="16838"/>
      <w:pgMar w:top="1134" w:right="709"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54FE" w:rsidRDefault="004E54FE" w:rsidP="00A3735C">
      <w:r>
        <w:separator/>
      </w:r>
    </w:p>
  </w:endnote>
  <w:endnote w:type="continuationSeparator" w:id="1">
    <w:p w:rsidR="004E54FE" w:rsidRDefault="004E54FE" w:rsidP="00A3735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ntiqua">
    <w:altName w:val="Arial"/>
    <w:charset w:val="00"/>
    <w:family w:val="swiss"/>
    <w:pitch w:val="variable"/>
    <w:sig w:usb0="00000001" w:usb1="00000000" w:usb2="00000000" w:usb3="00000000" w:csb0="00000005" w:csb1="00000000"/>
  </w:font>
  <w:font w:name="Times New (W1)">
    <w:altName w:val="Times New Roman"/>
    <w:panose1 w:val="00000000000000000000"/>
    <w:charset w:val="CC"/>
    <w:family w:val="roman"/>
    <w:notTrueType/>
    <w:pitch w:val="variable"/>
    <w:sig w:usb0="00000203" w:usb1="00000000" w:usb2="00000000" w:usb3="00000000" w:csb0="00000005"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54FE" w:rsidRDefault="004E54FE" w:rsidP="00A3735C">
      <w:r>
        <w:separator/>
      </w:r>
    </w:p>
  </w:footnote>
  <w:footnote w:type="continuationSeparator" w:id="1">
    <w:p w:rsidR="004E54FE" w:rsidRDefault="004E54FE" w:rsidP="00A3735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2F40" w:rsidRDefault="00727FA6">
    <w:pPr>
      <w:pStyle w:val="a9"/>
      <w:jc w:val="center"/>
    </w:pPr>
    <w:r>
      <w:fldChar w:fldCharType="begin"/>
    </w:r>
    <w:r w:rsidR="00EA60C3">
      <w:instrText xml:space="preserve"> PAGE   \* MERGEFORMAT </w:instrText>
    </w:r>
    <w:r>
      <w:fldChar w:fldCharType="separate"/>
    </w:r>
    <w:r w:rsidR="00F8297C">
      <w:rPr>
        <w:noProof/>
      </w:rPr>
      <w:t>15</w:t>
    </w:r>
    <w:r>
      <w:rPr>
        <w:noProof/>
      </w:rPr>
      <w:fldChar w:fldCharType="end"/>
    </w:r>
  </w:p>
  <w:p w:rsidR="00B82F40" w:rsidRDefault="00B82F40">
    <w:pPr>
      <w:pStyle w:val="a9"/>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9DE2B88"/>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35AEB478"/>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296C9490"/>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A4827E84"/>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CD80447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1CEE469C"/>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3288DC9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590D52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C51AE85E"/>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2550EE56"/>
    <w:lvl w:ilvl="0">
      <w:start w:val="1"/>
      <w:numFmt w:val="bullet"/>
      <w:lvlText w:val=""/>
      <w:lvlJc w:val="left"/>
      <w:pPr>
        <w:tabs>
          <w:tab w:val="num" w:pos="360"/>
        </w:tabs>
        <w:ind w:left="360" w:hanging="360"/>
      </w:pPr>
      <w:rPr>
        <w:rFonts w:ascii="Symbol" w:hAnsi="Symbol" w:hint="default"/>
      </w:rPr>
    </w:lvl>
  </w:abstractNum>
  <w:abstractNum w:abstractNumId="10">
    <w:nsid w:val="0D7A2C90"/>
    <w:multiLevelType w:val="hybridMultilevel"/>
    <w:tmpl w:val="90767CF6"/>
    <w:lvl w:ilvl="0" w:tplc="04220001">
      <w:start w:val="1"/>
      <w:numFmt w:val="bullet"/>
      <w:lvlText w:val=""/>
      <w:lvlJc w:val="left"/>
      <w:pPr>
        <w:ind w:left="1571" w:hanging="360"/>
      </w:pPr>
      <w:rPr>
        <w:rFonts w:ascii="Symbol" w:hAnsi="Symbol" w:hint="default"/>
      </w:rPr>
    </w:lvl>
    <w:lvl w:ilvl="1" w:tplc="04220003" w:tentative="1">
      <w:start w:val="1"/>
      <w:numFmt w:val="bullet"/>
      <w:lvlText w:val="o"/>
      <w:lvlJc w:val="left"/>
      <w:pPr>
        <w:ind w:left="2291" w:hanging="360"/>
      </w:pPr>
      <w:rPr>
        <w:rFonts w:ascii="Courier New" w:hAnsi="Courier New" w:cs="Courier New" w:hint="default"/>
      </w:rPr>
    </w:lvl>
    <w:lvl w:ilvl="2" w:tplc="04220005" w:tentative="1">
      <w:start w:val="1"/>
      <w:numFmt w:val="bullet"/>
      <w:lvlText w:val=""/>
      <w:lvlJc w:val="left"/>
      <w:pPr>
        <w:ind w:left="3011" w:hanging="360"/>
      </w:pPr>
      <w:rPr>
        <w:rFonts w:ascii="Wingdings" w:hAnsi="Wingdings" w:hint="default"/>
      </w:rPr>
    </w:lvl>
    <w:lvl w:ilvl="3" w:tplc="04220001" w:tentative="1">
      <w:start w:val="1"/>
      <w:numFmt w:val="bullet"/>
      <w:lvlText w:val=""/>
      <w:lvlJc w:val="left"/>
      <w:pPr>
        <w:ind w:left="3731" w:hanging="360"/>
      </w:pPr>
      <w:rPr>
        <w:rFonts w:ascii="Symbol" w:hAnsi="Symbol" w:hint="default"/>
      </w:rPr>
    </w:lvl>
    <w:lvl w:ilvl="4" w:tplc="04220003" w:tentative="1">
      <w:start w:val="1"/>
      <w:numFmt w:val="bullet"/>
      <w:lvlText w:val="o"/>
      <w:lvlJc w:val="left"/>
      <w:pPr>
        <w:ind w:left="4451" w:hanging="360"/>
      </w:pPr>
      <w:rPr>
        <w:rFonts w:ascii="Courier New" w:hAnsi="Courier New" w:cs="Courier New" w:hint="default"/>
      </w:rPr>
    </w:lvl>
    <w:lvl w:ilvl="5" w:tplc="04220005" w:tentative="1">
      <w:start w:val="1"/>
      <w:numFmt w:val="bullet"/>
      <w:lvlText w:val=""/>
      <w:lvlJc w:val="left"/>
      <w:pPr>
        <w:ind w:left="5171" w:hanging="360"/>
      </w:pPr>
      <w:rPr>
        <w:rFonts w:ascii="Wingdings" w:hAnsi="Wingdings" w:hint="default"/>
      </w:rPr>
    </w:lvl>
    <w:lvl w:ilvl="6" w:tplc="04220001" w:tentative="1">
      <w:start w:val="1"/>
      <w:numFmt w:val="bullet"/>
      <w:lvlText w:val=""/>
      <w:lvlJc w:val="left"/>
      <w:pPr>
        <w:ind w:left="5891" w:hanging="360"/>
      </w:pPr>
      <w:rPr>
        <w:rFonts w:ascii="Symbol" w:hAnsi="Symbol" w:hint="default"/>
      </w:rPr>
    </w:lvl>
    <w:lvl w:ilvl="7" w:tplc="04220003" w:tentative="1">
      <w:start w:val="1"/>
      <w:numFmt w:val="bullet"/>
      <w:lvlText w:val="o"/>
      <w:lvlJc w:val="left"/>
      <w:pPr>
        <w:ind w:left="6611" w:hanging="360"/>
      </w:pPr>
      <w:rPr>
        <w:rFonts w:ascii="Courier New" w:hAnsi="Courier New" w:cs="Courier New" w:hint="default"/>
      </w:rPr>
    </w:lvl>
    <w:lvl w:ilvl="8" w:tplc="04220005" w:tentative="1">
      <w:start w:val="1"/>
      <w:numFmt w:val="bullet"/>
      <w:lvlText w:val=""/>
      <w:lvlJc w:val="left"/>
      <w:pPr>
        <w:ind w:left="7331" w:hanging="360"/>
      </w:pPr>
      <w:rPr>
        <w:rFonts w:ascii="Wingdings" w:hAnsi="Wingdings" w:hint="default"/>
      </w:rPr>
    </w:lvl>
  </w:abstractNum>
  <w:abstractNum w:abstractNumId="11">
    <w:nsid w:val="1BFD6EA8"/>
    <w:multiLevelType w:val="hybridMultilevel"/>
    <w:tmpl w:val="3A76212E"/>
    <w:lvl w:ilvl="0" w:tplc="32F64CC4">
      <w:start w:val="1"/>
      <w:numFmt w:val="decimal"/>
      <w:lvlText w:val="%1"/>
      <w:lvlJc w:val="left"/>
      <w:pPr>
        <w:ind w:left="1070" w:hanging="360"/>
      </w:pPr>
      <w:rPr>
        <w:rFonts w:hint="default"/>
        <w:color w:val="auto"/>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2">
    <w:nsid w:val="3DC85669"/>
    <w:multiLevelType w:val="hybridMultilevel"/>
    <w:tmpl w:val="A2BCAE0A"/>
    <w:lvl w:ilvl="0" w:tplc="0422000F">
      <w:start w:val="1"/>
      <w:numFmt w:val="decimal"/>
      <w:lvlText w:val="%1."/>
      <w:lvlJc w:val="left"/>
      <w:pPr>
        <w:ind w:left="1571" w:hanging="360"/>
      </w:pPr>
    </w:lvl>
    <w:lvl w:ilvl="1" w:tplc="04220019" w:tentative="1">
      <w:start w:val="1"/>
      <w:numFmt w:val="lowerLetter"/>
      <w:lvlText w:val="%2."/>
      <w:lvlJc w:val="left"/>
      <w:pPr>
        <w:ind w:left="2291" w:hanging="360"/>
      </w:pPr>
    </w:lvl>
    <w:lvl w:ilvl="2" w:tplc="0422001B" w:tentative="1">
      <w:start w:val="1"/>
      <w:numFmt w:val="lowerRoman"/>
      <w:lvlText w:val="%3."/>
      <w:lvlJc w:val="right"/>
      <w:pPr>
        <w:ind w:left="3011" w:hanging="180"/>
      </w:pPr>
    </w:lvl>
    <w:lvl w:ilvl="3" w:tplc="0422000F" w:tentative="1">
      <w:start w:val="1"/>
      <w:numFmt w:val="decimal"/>
      <w:lvlText w:val="%4."/>
      <w:lvlJc w:val="left"/>
      <w:pPr>
        <w:ind w:left="3731" w:hanging="360"/>
      </w:pPr>
    </w:lvl>
    <w:lvl w:ilvl="4" w:tplc="04220019" w:tentative="1">
      <w:start w:val="1"/>
      <w:numFmt w:val="lowerLetter"/>
      <w:lvlText w:val="%5."/>
      <w:lvlJc w:val="left"/>
      <w:pPr>
        <w:ind w:left="4451" w:hanging="360"/>
      </w:pPr>
    </w:lvl>
    <w:lvl w:ilvl="5" w:tplc="0422001B" w:tentative="1">
      <w:start w:val="1"/>
      <w:numFmt w:val="lowerRoman"/>
      <w:lvlText w:val="%6."/>
      <w:lvlJc w:val="right"/>
      <w:pPr>
        <w:ind w:left="5171" w:hanging="180"/>
      </w:pPr>
    </w:lvl>
    <w:lvl w:ilvl="6" w:tplc="0422000F" w:tentative="1">
      <w:start w:val="1"/>
      <w:numFmt w:val="decimal"/>
      <w:lvlText w:val="%7."/>
      <w:lvlJc w:val="left"/>
      <w:pPr>
        <w:ind w:left="5891" w:hanging="360"/>
      </w:pPr>
    </w:lvl>
    <w:lvl w:ilvl="7" w:tplc="04220019" w:tentative="1">
      <w:start w:val="1"/>
      <w:numFmt w:val="lowerLetter"/>
      <w:lvlText w:val="%8."/>
      <w:lvlJc w:val="left"/>
      <w:pPr>
        <w:ind w:left="6611" w:hanging="360"/>
      </w:pPr>
    </w:lvl>
    <w:lvl w:ilvl="8" w:tplc="0422001B" w:tentative="1">
      <w:start w:val="1"/>
      <w:numFmt w:val="lowerRoman"/>
      <w:lvlText w:val="%9."/>
      <w:lvlJc w:val="right"/>
      <w:pPr>
        <w:ind w:left="7331" w:hanging="180"/>
      </w:pPr>
    </w:lvl>
  </w:abstractNum>
  <w:abstractNum w:abstractNumId="13">
    <w:nsid w:val="4F104E7E"/>
    <w:multiLevelType w:val="hybridMultilevel"/>
    <w:tmpl w:val="A7BC47EC"/>
    <w:lvl w:ilvl="0" w:tplc="5212FC46">
      <w:numFmt w:val="bullet"/>
      <w:lvlText w:val="-"/>
      <w:lvlJc w:val="left"/>
      <w:pPr>
        <w:tabs>
          <w:tab w:val="num" w:pos="2201"/>
        </w:tabs>
        <w:ind w:left="2201" w:hanging="1350"/>
      </w:pPr>
      <w:rPr>
        <w:rFonts w:ascii="Times New Roman" w:eastAsia="Times New Roman" w:hAnsi="Times New Roman" w:hint="default"/>
      </w:rPr>
    </w:lvl>
    <w:lvl w:ilvl="1" w:tplc="04190003">
      <w:start w:val="1"/>
      <w:numFmt w:val="bullet"/>
      <w:lvlText w:val="o"/>
      <w:lvlJc w:val="left"/>
      <w:pPr>
        <w:tabs>
          <w:tab w:val="num" w:pos="1931"/>
        </w:tabs>
        <w:ind w:left="1931" w:hanging="360"/>
      </w:pPr>
      <w:rPr>
        <w:rFonts w:ascii="Courier New" w:hAnsi="Courier New" w:hint="default"/>
      </w:rPr>
    </w:lvl>
    <w:lvl w:ilvl="2" w:tplc="04190005">
      <w:start w:val="1"/>
      <w:numFmt w:val="bullet"/>
      <w:lvlText w:val=""/>
      <w:lvlJc w:val="left"/>
      <w:pPr>
        <w:tabs>
          <w:tab w:val="num" w:pos="2651"/>
        </w:tabs>
        <w:ind w:left="2651" w:hanging="360"/>
      </w:pPr>
      <w:rPr>
        <w:rFonts w:ascii="Wingdings" w:hAnsi="Wingdings" w:hint="default"/>
      </w:rPr>
    </w:lvl>
    <w:lvl w:ilvl="3" w:tplc="04190001">
      <w:start w:val="1"/>
      <w:numFmt w:val="bullet"/>
      <w:lvlText w:val=""/>
      <w:lvlJc w:val="left"/>
      <w:pPr>
        <w:tabs>
          <w:tab w:val="num" w:pos="3371"/>
        </w:tabs>
        <w:ind w:left="3371" w:hanging="360"/>
      </w:pPr>
      <w:rPr>
        <w:rFonts w:ascii="Symbol" w:hAnsi="Symbol" w:hint="default"/>
      </w:rPr>
    </w:lvl>
    <w:lvl w:ilvl="4" w:tplc="04190003">
      <w:start w:val="1"/>
      <w:numFmt w:val="bullet"/>
      <w:lvlText w:val="o"/>
      <w:lvlJc w:val="left"/>
      <w:pPr>
        <w:tabs>
          <w:tab w:val="num" w:pos="4091"/>
        </w:tabs>
        <w:ind w:left="4091" w:hanging="360"/>
      </w:pPr>
      <w:rPr>
        <w:rFonts w:ascii="Courier New" w:hAnsi="Courier New" w:hint="default"/>
      </w:rPr>
    </w:lvl>
    <w:lvl w:ilvl="5" w:tplc="04190005">
      <w:start w:val="1"/>
      <w:numFmt w:val="bullet"/>
      <w:lvlText w:val=""/>
      <w:lvlJc w:val="left"/>
      <w:pPr>
        <w:tabs>
          <w:tab w:val="num" w:pos="4811"/>
        </w:tabs>
        <w:ind w:left="4811" w:hanging="360"/>
      </w:pPr>
      <w:rPr>
        <w:rFonts w:ascii="Wingdings" w:hAnsi="Wingdings" w:hint="default"/>
      </w:rPr>
    </w:lvl>
    <w:lvl w:ilvl="6" w:tplc="04190001">
      <w:start w:val="1"/>
      <w:numFmt w:val="bullet"/>
      <w:lvlText w:val=""/>
      <w:lvlJc w:val="left"/>
      <w:pPr>
        <w:tabs>
          <w:tab w:val="num" w:pos="5531"/>
        </w:tabs>
        <w:ind w:left="5531" w:hanging="360"/>
      </w:pPr>
      <w:rPr>
        <w:rFonts w:ascii="Symbol" w:hAnsi="Symbol" w:hint="default"/>
      </w:rPr>
    </w:lvl>
    <w:lvl w:ilvl="7" w:tplc="04190003">
      <w:start w:val="1"/>
      <w:numFmt w:val="bullet"/>
      <w:lvlText w:val="o"/>
      <w:lvlJc w:val="left"/>
      <w:pPr>
        <w:tabs>
          <w:tab w:val="num" w:pos="6251"/>
        </w:tabs>
        <w:ind w:left="6251" w:hanging="360"/>
      </w:pPr>
      <w:rPr>
        <w:rFonts w:ascii="Courier New" w:hAnsi="Courier New" w:hint="default"/>
      </w:rPr>
    </w:lvl>
    <w:lvl w:ilvl="8" w:tplc="04190005">
      <w:start w:val="1"/>
      <w:numFmt w:val="bullet"/>
      <w:lvlText w:val=""/>
      <w:lvlJc w:val="left"/>
      <w:pPr>
        <w:tabs>
          <w:tab w:val="num" w:pos="6971"/>
        </w:tabs>
        <w:ind w:left="6971" w:hanging="360"/>
      </w:pPr>
      <w:rPr>
        <w:rFonts w:ascii="Wingdings" w:hAnsi="Wingdings" w:hint="default"/>
      </w:rPr>
    </w:lvl>
  </w:abstractNum>
  <w:abstractNum w:abstractNumId="14">
    <w:nsid w:val="4FF1215C"/>
    <w:multiLevelType w:val="hybridMultilevel"/>
    <w:tmpl w:val="E44A9A02"/>
    <w:lvl w:ilvl="0" w:tplc="6BF05950">
      <w:numFmt w:val="bullet"/>
      <w:lvlText w:val="-"/>
      <w:lvlJc w:val="left"/>
      <w:pPr>
        <w:tabs>
          <w:tab w:val="num" w:pos="1605"/>
        </w:tabs>
        <w:ind w:left="1605" w:hanging="885"/>
      </w:pPr>
      <w:rPr>
        <w:rFonts w:ascii="Times New Roman" w:eastAsia="Times New Roman" w:hAnsi="Times New Roman"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num w:numId="1">
    <w:abstractNumId w:val="13"/>
  </w:num>
  <w:num w:numId="2">
    <w:abstractNumId w:val="14"/>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2"/>
  </w:num>
  <w:num w:numId="14">
    <w:abstractNumId w:val="10"/>
  </w:num>
  <w:num w:numId="1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embedSystemFonts/>
  <w:defaultTabStop w:val="708"/>
  <w:hyphenationZone w:val="425"/>
  <w:doNotHyphenateCaps/>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14B3E"/>
    <w:rsid w:val="00000F4C"/>
    <w:rsid w:val="00002AF0"/>
    <w:rsid w:val="0000386C"/>
    <w:rsid w:val="00004459"/>
    <w:rsid w:val="00005E27"/>
    <w:rsid w:val="000064EE"/>
    <w:rsid w:val="000101E7"/>
    <w:rsid w:val="00010E77"/>
    <w:rsid w:val="00010FC7"/>
    <w:rsid w:val="0001128C"/>
    <w:rsid w:val="00012037"/>
    <w:rsid w:val="0001327C"/>
    <w:rsid w:val="00013A15"/>
    <w:rsid w:val="000155DB"/>
    <w:rsid w:val="00016AFD"/>
    <w:rsid w:val="000218CC"/>
    <w:rsid w:val="00022527"/>
    <w:rsid w:val="00023E61"/>
    <w:rsid w:val="000248B0"/>
    <w:rsid w:val="000258ED"/>
    <w:rsid w:val="000261EE"/>
    <w:rsid w:val="00027D23"/>
    <w:rsid w:val="00030473"/>
    <w:rsid w:val="00030C33"/>
    <w:rsid w:val="00032AEC"/>
    <w:rsid w:val="00036703"/>
    <w:rsid w:val="00036B24"/>
    <w:rsid w:val="00037067"/>
    <w:rsid w:val="000408AA"/>
    <w:rsid w:val="00041120"/>
    <w:rsid w:val="00041478"/>
    <w:rsid w:val="00041A4A"/>
    <w:rsid w:val="00041A8F"/>
    <w:rsid w:val="000423F1"/>
    <w:rsid w:val="0004302A"/>
    <w:rsid w:val="00043C0C"/>
    <w:rsid w:val="00046C84"/>
    <w:rsid w:val="000473FE"/>
    <w:rsid w:val="00047527"/>
    <w:rsid w:val="00047DB1"/>
    <w:rsid w:val="0005051F"/>
    <w:rsid w:val="00050C55"/>
    <w:rsid w:val="00050EBC"/>
    <w:rsid w:val="00051C4D"/>
    <w:rsid w:val="0005322C"/>
    <w:rsid w:val="00053666"/>
    <w:rsid w:val="00055156"/>
    <w:rsid w:val="00057BBF"/>
    <w:rsid w:val="00057DA0"/>
    <w:rsid w:val="00060991"/>
    <w:rsid w:val="00060CF2"/>
    <w:rsid w:val="00060EDC"/>
    <w:rsid w:val="00060F7E"/>
    <w:rsid w:val="0006262F"/>
    <w:rsid w:val="00071BE4"/>
    <w:rsid w:val="00075294"/>
    <w:rsid w:val="00075EEA"/>
    <w:rsid w:val="00076E87"/>
    <w:rsid w:val="00076FDF"/>
    <w:rsid w:val="00077764"/>
    <w:rsid w:val="00077D53"/>
    <w:rsid w:val="0008239F"/>
    <w:rsid w:val="0008396C"/>
    <w:rsid w:val="00083ED2"/>
    <w:rsid w:val="00084246"/>
    <w:rsid w:val="0008470E"/>
    <w:rsid w:val="00085BE7"/>
    <w:rsid w:val="00086744"/>
    <w:rsid w:val="00086BD2"/>
    <w:rsid w:val="0008778B"/>
    <w:rsid w:val="000908B9"/>
    <w:rsid w:val="0009179B"/>
    <w:rsid w:val="00091AD7"/>
    <w:rsid w:val="000938B3"/>
    <w:rsid w:val="000959FC"/>
    <w:rsid w:val="00097AE3"/>
    <w:rsid w:val="000A0568"/>
    <w:rsid w:val="000A34B1"/>
    <w:rsid w:val="000A3870"/>
    <w:rsid w:val="000A49FB"/>
    <w:rsid w:val="000A4B3A"/>
    <w:rsid w:val="000A4DFA"/>
    <w:rsid w:val="000B16EB"/>
    <w:rsid w:val="000B19FE"/>
    <w:rsid w:val="000B3075"/>
    <w:rsid w:val="000B60EE"/>
    <w:rsid w:val="000B7BAE"/>
    <w:rsid w:val="000C075C"/>
    <w:rsid w:val="000C08D5"/>
    <w:rsid w:val="000C18DC"/>
    <w:rsid w:val="000C2C60"/>
    <w:rsid w:val="000C2E7E"/>
    <w:rsid w:val="000C3221"/>
    <w:rsid w:val="000C391B"/>
    <w:rsid w:val="000C634E"/>
    <w:rsid w:val="000C7B2A"/>
    <w:rsid w:val="000D010E"/>
    <w:rsid w:val="000D0AD4"/>
    <w:rsid w:val="000D18F5"/>
    <w:rsid w:val="000D1CC7"/>
    <w:rsid w:val="000D3BF8"/>
    <w:rsid w:val="000D426D"/>
    <w:rsid w:val="000D4AED"/>
    <w:rsid w:val="000D4EB8"/>
    <w:rsid w:val="000D66DD"/>
    <w:rsid w:val="000D786E"/>
    <w:rsid w:val="000D78CA"/>
    <w:rsid w:val="000E12E3"/>
    <w:rsid w:val="000E187E"/>
    <w:rsid w:val="000E3638"/>
    <w:rsid w:val="000E3CD0"/>
    <w:rsid w:val="000E47FA"/>
    <w:rsid w:val="000E59CA"/>
    <w:rsid w:val="000E5B61"/>
    <w:rsid w:val="000E7EC5"/>
    <w:rsid w:val="000F1B2F"/>
    <w:rsid w:val="000F20A4"/>
    <w:rsid w:val="000F2D1B"/>
    <w:rsid w:val="000F3B44"/>
    <w:rsid w:val="000F48C9"/>
    <w:rsid w:val="000F5A47"/>
    <w:rsid w:val="000F6E66"/>
    <w:rsid w:val="000F752F"/>
    <w:rsid w:val="000F7979"/>
    <w:rsid w:val="001013BD"/>
    <w:rsid w:val="00101865"/>
    <w:rsid w:val="00101A3A"/>
    <w:rsid w:val="00101DB0"/>
    <w:rsid w:val="00102261"/>
    <w:rsid w:val="00102D20"/>
    <w:rsid w:val="00102E3E"/>
    <w:rsid w:val="0010355E"/>
    <w:rsid w:val="001040BF"/>
    <w:rsid w:val="00105ACD"/>
    <w:rsid w:val="00105DBB"/>
    <w:rsid w:val="00106D38"/>
    <w:rsid w:val="001126A9"/>
    <w:rsid w:val="00112E6D"/>
    <w:rsid w:val="00112EFF"/>
    <w:rsid w:val="001133D9"/>
    <w:rsid w:val="00116AA2"/>
    <w:rsid w:val="00116D1F"/>
    <w:rsid w:val="00120D5B"/>
    <w:rsid w:val="00120D75"/>
    <w:rsid w:val="00121422"/>
    <w:rsid w:val="00122AB7"/>
    <w:rsid w:val="00122AE8"/>
    <w:rsid w:val="001236EA"/>
    <w:rsid w:val="00123AB0"/>
    <w:rsid w:val="00123F58"/>
    <w:rsid w:val="001250F8"/>
    <w:rsid w:val="00131420"/>
    <w:rsid w:val="00135286"/>
    <w:rsid w:val="00135D62"/>
    <w:rsid w:val="00141448"/>
    <w:rsid w:val="001417D5"/>
    <w:rsid w:val="00141F8F"/>
    <w:rsid w:val="00142BDA"/>
    <w:rsid w:val="00143ACF"/>
    <w:rsid w:val="00145540"/>
    <w:rsid w:val="00145B81"/>
    <w:rsid w:val="00147991"/>
    <w:rsid w:val="00147BBE"/>
    <w:rsid w:val="00150548"/>
    <w:rsid w:val="00151632"/>
    <w:rsid w:val="0015195D"/>
    <w:rsid w:val="00151D12"/>
    <w:rsid w:val="00152ED9"/>
    <w:rsid w:val="0015301C"/>
    <w:rsid w:val="00153510"/>
    <w:rsid w:val="00154017"/>
    <w:rsid w:val="00163EAE"/>
    <w:rsid w:val="00164AB8"/>
    <w:rsid w:val="00164AF2"/>
    <w:rsid w:val="00165816"/>
    <w:rsid w:val="00165C6E"/>
    <w:rsid w:val="00165D6F"/>
    <w:rsid w:val="001667C8"/>
    <w:rsid w:val="00167372"/>
    <w:rsid w:val="00167E77"/>
    <w:rsid w:val="00170A9F"/>
    <w:rsid w:val="00172034"/>
    <w:rsid w:val="0017243D"/>
    <w:rsid w:val="001740C5"/>
    <w:rsid w:val="00175EB1"/>
    <w:rsid w:val="00176403"/>
    <w:rsid w:val="0017649D"/>
    <w:rsid w:val="00176A76"/>
    <w:rsid w:val="00177EB9"/>
    <w:rsid w:val="001802B4"/>
    <w:rsid w:val="001822E4"/>
    <w:rsid w:val="001825D9"/>
    <w:rsid w:val="0018386E"/>
    <w:rsid w:val="00184320"/>
    <w:rsid w:val="0018447D"/>
    <w:rsid w:val="0018567E"/>
    <w:rsid w:val="001874C8"/>
    <w:rsid w:val="00187BF6"/>
    <w:rsid w:val="0019105B"/>
    <w:rsid w:val="00194392"/>
    <w:rsid w:val="00196B2D"/>
    <w:rsid w:val="00197239"/>
    <w:rsid w:val="001A0252"/>
    <w:rsid w:val="001A03F3"/>
    <w:rsid w:val="001A1BA4"/>
    <w:rsid w:val="001A293E"/>
    <w:rsid w:val="001A2DC6"/>
    <w:rsid w:val="001A5982"/>
    <w:rsid w:val="001A6BE2"/>
    <w:rsid w:val="001B0ED1"/>
    <w:rsid w:val="001B196D"/>
    <w:rsid w:val="001B4265"/>
    <w:rsid w:val="001B4F9D"/>
    <w:rsid w:val="001B5D0B"/>
    <w:rsid w:val="001B6E47"/>
    <w:rsid w:val="001C0943"/>
    <w:rsid w:val="001C20AF"/>
    <w:rsid w:val="001C2C91"/>
    <w:rsid w:val="001C2DE7"/>
    <w:rsid w:val="001C4442"/>
    <w:rsid w:val="001C4EB7"/>
    <w:rsid w:val="001C59DD"/>
    <w:rsid w:val="001C604A"/>
    <w:rsid w:val="001C6407"/>
    <w:rsid w:val="001C74E9"/>
    <w:rsid w:val="001D0451"/>
    <w:rsid w:val="001D1F8D"/>
    <w:rsid w:val="001D359A"/>
    <w:rsid w:val="001D415C"/>
    <w:rsid w:val="001D4699"/>
    <w:rsid w:val="001D6AAD"/>
    <w:rsid w:val="001D72C3"/>
    <w:rsid w:val="001D7423"/>
    <w:rsid w:val="001D788D"/>
    <w:rsid w:val="001E0890"/>
    <w:rsid w:val="001E14E1"/>
    <w:rsid w:val="001E163B"/>
    <w:rsid w:val="001E238B"/>
    <w:rsid w:val="001E2D41"/>
    <w:rsid w:val="001E653C"/>
    <w:rsid w:val="001F181C"/>
    <w:rsid w:val="001F2BFE"/>
    <w:rsid w:val="001F3CDB"/>
    <w:rsid w:val="001F55A4"/>
    <w:rsid w:val="001F588F"/>
    <w:rsid w:val="001F6F8D"/>
    <w:rsid w:val="001F70D5"/>
    <w:rsid w:val="002008E0"/>
    <w:rsid w:val="00200AC0"/>
    <w:rsid w:val="00200F1C"/>
    <w:rsid w:val="00202063"/>
    <w:rsid w:val="00204E31"/>
    <w:rsid w:val="00205E5D"/>
    <w:rsid w:val="00214A92"/>
    <w:rsid w:val="002163F9"/>
    <w:rsid w:val="002166E6"/>
    <w:rsid w:val="002168D8"/>
    <w:rsid w:val="0021719D"/>
    <w:rsid w:val="002179A9"/>
    <w:rsid w:val="00220E95"/>
    <w:rsid w:val="002213A1"/>
    <w:rsid w:val="00223303"/>
    <w:rsid w:val="0022375D"/>
    <w:rsid w:val="00224232"/>
    <w:rsid w:val="00226011"/>
    <w:rsid w:val="00226E9D"/>
    <w:rsid w:val="00227B43"/>
    <w:rsid w:val="00231419"/>
    <w:rsid w:val="00231469"/>
    <w:rsid w:val="00231A43"/>
    <w:rsid w:val="00231E9A"/>
    <w:rsid w:val="00232378"/>
    <w:rsid w:val="00232A2D"/>
    <w:rsid w:val="00232BF7"/>
    <w:rsid w:val="00233AD0"/>
    <w:rsid w:val="00236943"/>
    <w:rsid w:val="00237BBC"/>
    <w:rsid w:val="00241061"/>
    <w:rsid w:val="002423B9"/>
    <w:rsid w:val="002437F4"/>
    <w:rsid w:val="00243FDC"/>
    <w:rsid w:val="0024523F"/>
    <w:rsid w:val="002458FE"/>
    <w:rsid w:val="002471F5"/>
    <w:rsid w:val="0024792B"/>
    <w:rsid w:val="002506ED"/>
    <w:rsid w:val="002521CE"/>
    <w:rsid w:val="00253999"/>
    <w:rsid w:val="0025407B"/>
    <w:rsid w:val="00260400"/>
    <w:rsid w:val="00260B08"/>
    <w:rsid w:val="00260D77"/>
    <w:rsid w:val="0026140B"/>
    <w:rsid w:val="00261889"/>
    <w:rsid w:val="0026248D"/>
    <w:rsid w:val="002624C2"/>
    <w:rsid w:val="00262E0B"/>
    <w:rsid w:val="002641AA"/>
    <w:rsid w:val="00265246"/>
    <w:rsid w:val="00266A47"/>
    <w:rsid w:val="00266B99"/>
    <w:rsid w:val="00267889"/>
    <w:rsid w:val="00267985"/>
    <w:rsid w:val="00267C4F"/>
    <w:rsid w:val="0027039F"/>
    <w:rsid w:val="00271457"/>
    <w:rsid w:val="0027215F"/>
    <w:rsid w:val="002756CD"/>
    <w:rsid w:val="00280457"/>
    <w:rsid w:val="00281A45"/>
    <w:rsid w:val="0028352F"/>
    <w:rsid w:val="002835C7"/>
    <w:rsid w:val="00285D4C"/>
    <w:rsid w:val="00287CA9"/>
    <w:rsid w:val="00287D54"/>
    <w:rsid w:val="00290F55"/>
    <w:rsid w:val="00293BFE"/>
    <w:rsid w:val="002978DC"/>
    <w:rsid w:val="002A0397"/>
    <w:rsid w:val="002A0439"/>
    <w:rsid w:val="002A111A"/>
    <w:rsid w:val="002A571D"/>
    <w:rsid w:val="002A5CE0"/>
    <w:rsid w:val="002A5D92"/>
    <w:rsid w:val="002A64BC"/>
    <w:rsid w:val="002A6B1B"/>
    <w:rsid w:val="002A7734"/>
    <w:rsid w:val="002B08F3"/>
    <w:rsid w:val="002B1167"/>
    <w:rsid w:val="002B2A0B"/>
    <w:rsid w:val="002B44EA"/>
    <w:rsid w:val="002B4712"/>
    <w:rsid w:val="002B4A3D"/>
    <w:rsid w:val="002B5C0F"/>
    <w:rsid w:val="002B60EE"/>
    <w:rsid w:val="002B736E"/>
    <w:rsid w:val="002B74B0"/>
    <w:rsid w:val="002C0033"/>
    <w:rsid w:val="002C07C3"/>
    <w:rsid w:val="002C0B55"/>
    <w:rsid w:val="002C1A57"/>
    <w:rsid w:val="002C2359"/>
    <w:rsid w:val="002C2F91"/>
    <w:rsid w:val="002C3442"/>
    <w:rsid w:val="002C4618"/>
    <w:rsid w:val="002C469C"/>
    <w:rsid w:val="002C486E"/>
    <w:rsid w:val="002C4B65"/>
    <w:rsid w:val="002C52D0"/>
    <w:rsid w:val="002C559B"/>
    <w:rsid w:val="002C5C82"/>
    <w:rsid w:val="002C776F"/>
    <w:rsid w:val="002C7AC5"/>
    <w:rsid w:val="002C7F72"/>
    <w:rsid w:val="002D050A"/>
    <w:rsid w:val="002D2C4E"/>
    <w:rsid w:val="002D3DCE"/>
    <w:rsid w:val="002D41B5"/>
    <w:rsid w:val="002D66AE"/>
    <w:rsid w:val="002D66BF"/>
    <w:rsid w:val="002E3347"/>
    <w:rsid w:val="002E4B75"/>
    <w:rsid w:val="002E6DC6"/>
    <w:rsid w:val="002F1B3E"/>
    <w:rsid w:val="002F388F"/>
    <w:rsid w:val="002F4ADB"/>
    <w:rsid w:val="002F4F02"/>
    <w:rsid w:val="002F6470"/>
    <w:rsid w:val="002F7543"/>
    <w:rsid w:val="0030038B"/>
    <w:rsid w:val="00300B9A"/>
    <w:rsid w:val="00300C93"/>
    <w:rsid w:val="00302A10"/>
    <w:rsid w:val="003032B6"/>
    <w:rsid w:val="003049FD"/>
    <w:rsid w:val="00304B85"/>
    <w:rsid w:val="00305938"/>
    <w:rsid w:val="00305B97"/>
    <w:rsid w:val="00305C3A"/>
    <w:rsid w:val="0030631A"/>
    <w:rsid w:val="00306623"/>
    <w:rsid w:val="00306AB2"/>
    <w:rsid w:val="00306E04"/>
    <w:rsid w:val="0031025F"/>
    <w:rsid w:val="003123BB"/>
    <w:rsid w:val="0031262A"/>
    <w:rsid w:val="00312F53"/>
    <w:rsid w:val="00312F8B"/>
    <w:rsid w:val="00314F32"/>
    <w:rsid w:val="0031532F"/>
    <w:rsid w:val="00315BE6"/>
    <w:rsid w:val="00315F4A"/>
    <w:rsid w:val="003162F3"/>
    <w:rsid w:val="00316476"/>
    <w:rsid w:val="00316F3E"/>
    <w:rsid w:val="0032137C"/>
    <w:rsid w:val="0032317E"/>
    <w:rsid w:val="00323BD5"/>
    <w:rsid w:val="00323E73"/>
    <w:rsid w:val="00324F82"/>
    <w:rsid w:val="00325711"/>
    <w:rsid w:val="003257D6"/>
    <w:rsid w:val="00325941"/>
    <w:rsid w:val="00325C25"/>
    <w:rsid w:val="00325C49"/>
    <w:rsid w:val="003272C7"/>
    <w:rsid w:val="0032749C"/>
    <w:rsid w:val="00327F20"/>
    <w:rsid w:val="003305B9"/>
    <w:rsid w:val="00330790"/>
    <w:rsid w:val="0033247B"/>
    <w:rsid w:val="00333FDB"/>
    <w:rsid w:val="00336CBB"/>
    <w:rsid w:val="00337322"/>
    <w:rsid w:val="00337434"/>
    <w:rsid w:val="003377E4"/>
    <w:rsid w:val="00341878"/>
    <w:rsid w:val="00341A5F"/>
    <w:rsid w:val="00342329"/>
    <w:rsid w:val="00343E9A"/>
    <w:rsid w:val="00343EA1"/>
    <w:rsid w:val="00346120"/>
    <w:rsid w:val="00346D98"/>
    <w:rsid w:val="00350BED"/>
    <w:rsid w:val="0035129E"/>
    <w:rsid w:val="003512A7"/>
    <w:rsid w:val="00351E13"/>
    <w:rsid w:val="00352ADE"/>
    <w:rsid w:val="003541C7"/>
    <w:rsid w:val="0035507B"/>
    <w:rsid w:val="00355AF0"/>
    <w:rsid w:val="00356BBD"/>
    <w:rsid w:val="00356C2E"/>
    <w:rsid w:val="0035702A"/>
    <w:rsid w:val="0036146D"/>
    <w:rsid w:val="003626F4"/>
    <w:rsid w:val="00362EBF"/>
    <w:rsid w:val="00364972"/>
    <w:rsid w:val="003678B0"/>
    <w:rsid w:val="003678BC"/>
    <w:rsid w:val="003739F1"/>
    <w:rsid w:val="00374A84"/>
    <w:rsid w:val="003764AF"/>
    <w:rsid w:val="00377210"/>
    <w:rsid w:val="00377A3A"/>
    <w:rsid w:val="00380120"/>
    <w:rsid w:val="00380C96"/>
    <w:rsid w:val="0038103C"/>
    <w:rsid w:val="00384081"/>
    <w:rsid w:val="00384FC2"/>
    <w:rsid w:val="00386002"/>
    <w:rsid w:val="00387214"/>
    <w:rsid w:val="003877F2"/>
    <w:rsid w:val="00390CE9"/>
    <w:rsid w:val="00391BD0"/>
    <w:rsid w:val="0039227D"/>
    <w:rsid w:val="00394019"/>
    <w:rsid w:val="00396A12"/>
    <w:rsid w:val="00396BDA"/>
    <w:rsid w:val="003A1450"/>
    <w:rsid w:val="003A4331"/>
    <w:rsid w:val="003A4804"/>
    <w:rsid w:val="003A4886"/>
    <w:rsid w:val="003A57AB"/>
    <w:rsid w:val="003A5BCD"/>
    <w:rsid w:val="003A6607"/>
    <w:rsid w:val="003A727F"/>
    <w:rsid w:val="003B0616"/>
    <w:rsid w:val="003B0B8C"/>
    <w:rsid w:val="003B0C0C"/>
    <w:rsid w:val="003B10C6"/>
    <w:rsid w:val="003B46A5"/>
    <w:rsid w:val="003B59DD"/>
    <w:rsid w:val="003B7447"/>
    <w:rsid w:val="003C03C7"/>
    <w:rsid w:val="003C0B85"/>
    <w:rsid w:val="003C1369"/>
    <w:rsid w:val="003C263A"/>
    <w:rsid w:val="003D0A36"/>
    <w:rsid w:val="003D1356"/>
    <w:rsid w:val="003D1E16"/>
    <w:rsid w:val="003D2D5E"/>
    <w:rsid w:val="003D42CF"/>
    <w:rsid w:val="003D5D02"/>
    <w:rsid w:val="003D5D2E"/>
    <w:rsid w:val="003D5EC8"/>
    <w:rsid w:val="003D7F66"/>
    <w:rsid w:val="003E037F"/>
    <w:rsid w:val="003E079C"/>
    <w:rsid w:val="003E13A6"/>
    <w:rsid w:val="003E1D3D"/>
    <w:rsid w:val="003E4B44"/>
    <w:rsid w:val="003E512F"/>
    <w:rsid w:val="003E5CA4"/>
    <w:rsid w:val="003E5FE8"/>
    <w:rsid w:val="003E6890"/>
    <w:rsid w:val="003E77FC"/>
    <w:rsid w:val="003F1053"/>
    <w:rsid w:val="003F14AE"/>
    <w:rsid w:val="003F461D"/>
    <w:rsid w:val="003F4A62"/>
    <w:rsid w:val="003F7BD6"/>
    <w:rsid w:val="00405A86"/>
    <w:rsid w:val="0040610F"/>
    <w:rsid w:val="00407501"/>
    <w:rsid w:val="00411BB3"/>
    <w:rsid w:val="00414284"/>
    <w:rsid w:val="00414B01"/>
    <w:rsid w:val="00415080"/>
    <w:rsid w:val="004159A4"/>
    <w:rsid w:val="00417C95"/>
    <w:rsid w:val="00420AE5"/>
    <w:rsid w:val="00420F7E"/>
    <w:rsid w:val="004215D8"/>
    <w:rsid w:val="00421630"/>
    <w:rsid w:val="0042168E"/>
    <w:rsid w:val="004220C1"/>
    <w:rsid w:val="004231E3"/>
    <w:rsid w:val="0042405C"/>
    <w:rsid w:val="00424A86"/>
    <w:rsid w:val="00427294"/>
    <w:rsid w:val="004278B1"/>
    <w:rsid w:val="004316B7"/>
    <w:rsid w:val="00431B87"/>
    <w:rsid w:val="00431D60"/>
    <w:rsid w:val="00431FDA"/>
    <w:rsid w:val="004327AD"/>
    <w:rsid w:val="004329E1"/>
    <w:rsid w:val="00435D85"/>
    <w:rsid w:val="00436286"/>
    <w:rsid w:val="0044129B"/>
    <w:rsid w:val="004415D5"/>
    <w:rsid w:val="004416AA"/>
    <w:rsid w:val="0044471E"/>
    <w:rsid w:val="00447328"/>
    <w:rsid w:val="004502DF"/>
    <w:rsid w:val="00450655"/>
    <w:rsid w:val="00450991"/>
    <w:rsid w:val="004509B8"/>
    <w:rsid w:val="00450E23"/>
    <w:rsid w:val="0045235C"/>
    <w:rsid w:val="00454906"/>
    <w:rsid w:val="00457895"/>
    <w:rsid w:val="00460B52"/>
    <w:rsid w:val="004610F6"/>
    <w:rsid w:val="0046217E"/>
    <w:rsid w:val="00463A37"/>
    <w:rsid w:val="00464436"/>
    <w:rsid w:val="00464949"/>
    <w:rsid w:val="00466D3E"/>
    <w:rsid w:val="0047104C"/>
    <w:rsid w:val="00471364"/>
    <w:rsid w:val="00471AAE"/>
    <w:rsid w:val="00472CDD"/>
    <w:rsid w:val="00472E6D"/>
    <w:rsid w:val="0047430A"/>
    <w:rsid w:val="004750A0"/>
    <w:rsid w:val="00476D4D"/>
    <w:rsid w:val="00477BE4"/>
    <w:rsid w:val="0048199C"/>
    <w:rsid w:val="004830BF"/>
    <w:rsid w:val="00483B45"/>
    <w:rsid w:val="00483CD0"/>
    <w:rsid w:val="00484906"/>
    <w:rsid w:val="004849BC"/>
    <w:rsid w:val="00484C15"/>
    <w:rsid w:val="00485554"/>
    <w:rsid w:val="00485704"/>
    <w:rsid w:val="00486660"/>
    <w:rsid w:val="004873A4"/>
    <w:rsid w:val="00487894"/>
    <w:rsid w:val="004904EB"/>
    <w:rsid w:val="00494283"/>
    <w:rsid w:val="00494682"/>
    <w:rsid w:val="00494CF0"/>
    <w:rsid w:val="00495222"/>
    <w:rsid w:val="00495A36"/>
    <w:rsid w:val="00495B3F"/>
    <w:rsid w:val="00495C19"/>
    <w:rsid w:val="00495F94"/>
    <w:rsid w:val="00496698"/>
    <w:rsid w:val="00497DB6"/>
    <w:rsid w:val="004A2D04"/>
    <w:rsid w:val="004A3376"/>
    <w:rsid w:val="004A34F2"/>
    <w:rsid w:val="004A4931"/>
    <w:rsid w:val="004A5289"/>
    <w:rsid w:val="004A57E6"/>
    <w:rsid w:val="004A5802"/>
    <w:rsid w:val="004A6C15"/>
    <w:rsid w:val="004B0C0A"/>
    <w:rsid w:val="004B290A"/>
    <w:rsid w:val="004B34C1"/>
    <w:rsid w:val="004B3B78"/>
    <w:rsid w:val="004B443E"/>
    <w:rsid w:val="004B578E"/>
    <w:rsid w:val="004C086B"/>
    <w:rsid w:val="004C0FD4"/>
    <w:rsid w:val="004C297E"/>
    <w:rsid w:val="004C32EE"/>
    <w:rsid w:val="004C5873"/>
    <w:rsid w:val="004C5C46"/>
    <w:rsid w:val="004C6DC6"/>
    <w:rsid w:val="004D26A5"/>
    <w:rsid w:val="004D28FE"/>
    <w:rsid w:val="004D329C"/>
    <w:rsid w:val="004D362F"/>
    <w:rsid w:val="004D4E60"/>
    <w:rsid w:val="004D5A3D"/>
    <w:rsid w:val="004D60FD"/>
    <w:rsid w:val="004E14C8"/>
    <w:rsid w:val="004E2E5D"/>
    <w:rsid w:val="004E4D27"/>
    <w:rsid w:val="004E5496"/>
    <w:rsid w:val="004E54FE"/>
    <w:rsid w:val="004F12A7"/>
    <w:rsid w:val="004F1BE2"/>
    <w:rsid w:val="004F2EE5"/>
    <w:rsid w:val="004F31F5"/>
    <w:rsid w:val="004F363D"/>
    <w:rsid w:val="004F45F3"/>
    <w:rsid w:val="004F480C"/>
    <w:rsid w:val="004F495E"/>
    <w:rsid w:val="004F51BA"/>
    <w:rsid w:val="004F67B6"/>
    <w:rsid w:val="004F7DD6"/>
    <w:rsid w:val="0050045F"/>
    <w:rsid w:val="0050172D"/>
    <w:rsid w:val="00501890"/>
    <w:rsid w:val="0050248B"/>
    <w:rsid w:val="00503D23"/>
    <w:rsid w:val="00503DA0"/>
    <w:rsid w:val="00505361"/>
    <w:rsid w:val="00506484"/>
    <w:rsid w:val="005100B5"/>
    <w:rsid w:val="00510602"/>
    <w:rsid w:val="00512437"/>
    <w:rsid w:val="00513B1F"/>
    <w:rsid w:val="005151C2"/>
    <w:rsid w:val="00522736"/>
    <w:rsid w:val="00522E38"/>
    <w:rsid w:val="005239E2"/>
    <w:rsid w:val="00524EE3"/>
    <w:rsid w:val="00526671"/>
    <w:rsid w:val="005278C7"/>
    <w:rsid w:val="00530C60"/>
    <w:rsid w:val="00530E79"/>
    <w:rsid w:val="0053139F"/>
    <w:rsid w:val="005314E4"/>
    <w:rsid w:val="005318A8"/>
    <w:rsid w:val="005321BB"/>
    <w:rsid w:val="00533295"/>
    <w:rsid w:val="005338D5"/>
    <w:rsid w:val="00535BFC"/>
    <w:rsid w:val="00540DA7"/>
    <w:rsid w:val="00542954"/>
    <w:rsid w:val="00542BFC"/>
    <w:rsid w:val="00545759"/>
    <w:rsid w:val="0054617D"/>
    <w:rsid w:val="00546F3D"/>
    <w:rsid w:val="0055156A"/>
    <w:rsid w:val="005521B1"/>
    <w:rsid w:val="00553CA6"/>
    <w:rsid w:val="00553D81"/>
    <w:rsid w:val="0055444C"/>
    <w:rsid w:val="005547A8"/>
    <w:rsid w:val="0055550C"/>
    <w:rsid w:val="00555FDC"/>
    <w:rsid w:val="005567A9"/>
    <w:rsid w:val="005602EA"/>
    <w:rsid w:val="00560A27"/>
    <w:rsid w:val="00561C52"/>
    <w:rsid w:val="00562EAB"/>
    <w:rsid w:val="00563884"/>
    <w:rsid w:val="005653AA"/>
    <w:rsid w:val="00565419"/>
    <w:rsid w:val="00565E0A"/>
    <w:rsid w:val="00566C25"/>
    <w:rsid w:val="00567575"/>
    <w:rsid w:val="00570456"/>
    <w:rsid w:val="0057274D"/>
    <w:rsid w:val="00572CE5"/>
    <w:rsid w:val="005742C7"/>
    <w:rsid w:val="00574AB7"/>
    <w:rsid w:val="00575C53"/>
    <w:rsid w:val="005761E5"/>
    <w:rsid w:val="00577B0B"/>
    <w:rsid w:val="00577D69"/>
    <w:rsid w:val="00580A60"/>
    <w:rsid w:val="0058144D"/>
    <w:rsid w:val="00582F86"/>
    <w:rsid w:val="0058358A"/>
    <w:rsid w:val="005835A6"/>
    <w:rsid w:val="00584038"/>
    <w:rsid w:val="005869C3"/>
    <w:rsid w:val="00587196"/>
    <w:rsid w:val="00587C88"/>
    <w:rsid w:val="005911D1"/>
    <w:rsid w:val="005913F1"/>
    <w:rsid w:val="00592980"/>
    <w:rsid w:val="00592DB7"/>
    <w:rsid w:val="0059459D"/>
    <w:rsid w:val="0059607B"/>
    <w:rsid w:val="0059621B"/>
    <w:rsid w:val="00597CC6"/>
    <w:rsid w:val="005A0079"/>
    <w:rsid w:val="005A2839"/>
    <w:rsid w:val="005A3AE4"/>
    <w:rsid w:val="005A3CF8"/>
    <w:rsid w:val="005A3EAA"/>
    <w:rsid w:val="005A3F6C"/>
    <w:rsid w:val="005A45B5"/>
    <w:rsid w:val="005A59D6"/>
    <w:rsid w:val="005A5B23"/>
    <w:rsid w:val="005A63FB"/>
    <w:rsid w:val="005A643E"/>
    <w:rsid w:val="005A7ADC"/>
    <w:rsid w:val="005B18E8"/>
    <w:rsid w:val="005B1A6B"/>
    <w:rsid w:val="005B1F32"/>
    <w:rsid w:val="005B20A8"/>
    <w:rsid w:val="005B454D"/>
    <w:rsid w:val="005B5BD4"/>
    <w:rsid w:val="005B620F"/>
    <w:rsid w:val="005B641D"/>
    <w:rsid w:val="005B6D8D"/>
    <w:rsid w:val="005B73DB"/>
    <w:rsid w:val="005C067C"/>
    <w:rsid w:val="005C0EBE"/>
    <w:rsid w:val="005C104A"/>
    <w:rsid w:val="005C1133"/>
    <w:rsid w:val="005C2C2E"/>
    <w:rsid w:val="005C3927"/>
    <w:rsid w:val="005C436E"/>
    <w:rsid w:val="005D01D1"/>
    <w:rsid w:val="005D10BB"/>
    <w:rsid w:val="005D2E4A"/>
    <w:rsid w:val="005D3180"/>
    <w:rsid w:val="005D3BF2"/>
    <w:rsid w:val="005D3C75"/>
    <w:rsid w:val="005D4129"/>
    <w:rsid w:val="005D4534"/>
    <w:rsid w:val="005D5735"/>
    <w:rsid w:val="005D5FB9"/>
    <w:rsid w:val="005E020C"/>
    <w:rsid w:val="005E06B6"/>
    <w:rsid w:val="005E0720"/>
    <w:rsid w:val="005E14E3"/>
    <w:rsid w:val="005E1784"/>
    <w:rsid w:val="005E2423"/>
    <w:rsid w:val="005E2755"/>
    <w:rsid w:val="005E47DA"/>
    <w:rsid w:val="005E4CE2"/>
    <w:rsid w:val="005E5413"/>
    <w:rsid w:val="005E60B1"/>
    <w:rsid w:val="005E677F"/>
    <w:rsid w:val="005E6EED"/>
    <w:rsid w:val="005E7A85"/>
    <w:rsid w:val="005E7CE4"/>
    <w:rsid w:val="005F0A6D"/>
    <w:rsid w:val="005F0E2C"/>
    <w:rsid w:val="005F1A9D"/>
    <w:rsid w:val="005F2527"/>
    <w:rsid w:val="005F3442"/>
    <w:rsid w:val="005F46C3"/>
    <w:rsid w:val="005F5C3A"/>
    <w:rsid w:val="005F790F"/>
    <w:rsid w:val="005F7F23"/>
    <w:rsid w:val="005F7FAE"/>
    <w:rsid w:val="006004DE"/>
    <w:rsid w:val="0060189E"/>
    <w:rsid w:val="00602403"/>
    <w:rsid w:val="00602CAB"/>
    <w:rsid w:val="006063A8"/>
    <w:rsid w:val="006068AE"/>
    <w:rsid w:val="0061028E"/>
    <w:rsid w:val="00612462"/>
    <w:rsid w:val="006133DD"/>
    <w:rsid w:val="006176EA"/>
    <w:rsid w:val="00617F3F"/>
    <w:rsid w:val="0062036A"/>
    <w:rsid w:val="0062099E"/>
    <w:rsid w:val="00620A0D"/>
    <w:rsid w:val="00621BAB"/>
    <w:rsid w:val="0062327F"/>
    <w:rsid w:val="00623C57"/>
    <w:rsid w:val="006240A5"/>
    <w:rsid w:val="006258C8"/>
    <w:rsid w:val="00630D43"/>
    <w:rsid w:val="0063159D"/>
    <w:rsid w:val="00633ECF"/>
    <w:rsid w:val="00634A3F"/>
    <w:rsid w:val="006350BC"/>
    <w:rsid w:val="00637447"/>
    <w:rsid w:val="00637916"/>
    <w:rsid w:val="00637A1C"/>
    <w:rsid w:val="00640089"/>
    <w:rsid w:val="006401CC"/>
    <w:rsid w:val="00640C00"/>
    <w:rsid w:val="00640D02"/>
    <w:rsid w:val="00640FF4"/>
    <w:rsid w:val="00641038"/>
    <w:rsid w:val="00641061"/>
    <w:rsid w:val="00641277"/>
    <w:rsid w:val="00641550"/>
    <w:rsid w:val="00641D10"/>
    <w:rsid w:val="006422A5"/>
    <w:rsid w:val="006429E2"/>
    <w:rsid w:val="00642DA1"/>
    <w:rsid w:val="00643A64"/>
    <w:rsid w:val="00643C8B"/>
    <w:rsid w:val="00643D2E"/>
    <w:rsid w:val="00645096"/>
    <w:rsid w:val="00646ABB"/>
    <w:rsid w:val="00647E8E"/>
    <w:rsid w:val="00647FA2"/>
    <w:rsid w:val="0065074E"/>
    <w:rsid w:val="00650C7C"/>
    <w:rsid w:val="00651EF0"/>
    <w:rsid w:val="00652A0A"/>
    <w:rsid w:val="0065658C"/>
    <w:rsid w:val="00661B93"/>
    <w:rsid w:val="00663CF9"/>
    <w:rsid w:val="0066538F"/>
    <w:rsid w:val="006668F3"/>
    <w:rsid w:val="00666971"/>
    <w:rsid w:val="0067494D"/>
    <w:rsid w:val="00674A2B"/>
    <w:rsid w:val="006775B0"/>
    <w:rsid w:val="00677B40"/>
    <w:rsid w:val="00677D7C"/>
    <w:rsid w:val="00680706"/>
    <w:rsid w:val="006810B3"/>
    <w:rsid w:val="00682F6F"/>
    <w:rsid w:val="006832FC"/>
    <w:rsid w:val="00684561"/>
    <w:rsid w:val="00684805"/>
    <w:rsid w:val="00684D47"/>
    <w:rsid w:val="00690199"/>
    <w:rsid w:val="006906E6"/>
    <w:rsid w:val="00692DA7"/>
    <w:rsid w:val="0069385C"/>
    <w:rsid w:val="0069434D"/>
    <w:rsid w:val="00694E48"/>
    <w:rsid w:val="00695711"/>
    <w:rsid w:val="00696255"/>
    <w:rsid w:val="00697BAD"/>
    <w:rsid w:val="00697F24"/>
    <w:rsid w:val="006A0650"/>
    <w:rsid w:val="006A0823"/>
    <w:rsid w:val="006A2168"/>
    <w:rsid w:val="006A2C67"/>
    <w:rsid w:val="006A3E6E"/>
    <w:rsid w:val="006A4ACD"/>
    <w:rsid w:val="006A54EA"/>
    <w:rsid w:val="006A5B99"/>
    <w:rsid w:val="006A5F03"/>
    <w:rsid w:val="006A6F7A"/>
    <w:rsid w:val="006A7207"/>
    <w:rsid w:val="006A7821"/>
    <w:rsid w:val="006B0476"/>
    <w:rsid w:val="006B0815"/>
    <w:rsid w:val="006B0C9C"/>
    <w:rsid w:val="006B0C9F"/>
    <w:rsid w:val="006B1F8D"/>
    <w:rsid w:val="006B3298"/>
    <w:rsid w:val="006B426D"/>
    <w:rsid w:val="006B480D"/>
    <w:rsid w:val="006B5B6E"/>
    <w:rsid w:val="006B633E"/>
    <w:rsid w:val="006B644F"/>
    <w:rsid w:val="006B7046"/>
    <w:rsid w:val="006C0503"/>
    <w:rsid w:val="006C1BE3"/>
    <w:rsid w:val="006C6350"/>
    <w:rsid w:val="006C7E5F"/>
    <w:rsid w:val="006D059F"/>
    <w:rsid w:val="006D1656"/>
    <w:rsid w:val="006D4AAE"/>
    <w:rsid w:val="006D4B2A"/>
    <w:rsid w:val="006D5103"/>
    <w:rsid w:val="006D5858"/>
    <w:rsid w:val="006D5EBD"/>
    <w:rsid w:val="006D69E7"/>
    <w:rsid w:val="006D6C4C"/>
    <w:rsid w:val="006D7B19"/>
    <w:rsid w:val="006E0E03"/>
    <w:rsid w:val="006E240C"/>
    <w:rsid w:val="006E2440"/>
    <w:rsid w:val="006E3928"/>
    <w:rsid w:val="006F18C2"/>
    <w:rsid w:val="006F25AE"/>
    <w:rsid w:val="006F3CB8"/>
    <w:rsid w:val="006F4444"/>
    <w:rsid w:val="006F45E4"/>
    <w:rsid w:val="006F52E9"/>
    <w:rsid w:val="006F5E32"/>
    <w:rsid w:val="006F7C57"/>
    <w:rsid w:val="0070082A"/>
    <w:rsid w:val="00701D8C"/>
    <w:rsid w:val="00701E0F"/>
    <w:rsid w:val="00704551"/>
    <w:rsid w:val="00704699"/>
    <w:rsid w:val="007065CD"/>
    <w:rsid w:val="00706652"/>
    <w:rsid w:val="00710B96"/>
    <w:rsid w:val="00710DFF"/>
    <w:rsid w:val="007116A1"/>
    <w:rsid w:val="00712166"/>
    <w:rsid w:val="0071303C"/>
    <w:rsid w:val="0071394C"/>
    <w:rsid w:val="00713C9E"/>
    <w:rsid w:val="007144AB"/>
    <w:rsid w:val="00714B3E"/>
    <w:rsid w:val="00714BEF"/>
    <w:rsid w:val="00716F45"/>
    <w:rsid w:val="007170F9"/>
    <w:rsid w:val="00720336"/>
    <w:rsid w:val="00721F62"/>
    <w:rsid w:val="00722FB6"/>
    <w:rsid w:val="0072376E"/>
    <w:rsid w:val="00724A32"/>
    <w:rsid w:val="00724B86"/>
    <w:rsid w:val="00724DD2"/>
    <w:rsid w:val="0072532F"/>
    <w:rsid w:val="00726B01"/>
    <w:rsid w:val="00727FA6"/>
    <w:rsid w:val="00730C9C"/>
    <w:rsid w:val="0073101C"/>
    <w:rsid w:val="00731D96"/>
    <w:rsid w:val="00733243"/>
    <w:rsid w:val="0073333D"/>
    <w:rsid w:val="00733A05"/>
    <w:rsid w:val="00733E39"/>
    <w:rsid w:val="00735E74"/>
    <w:rsid w:val="007365E7"/>
    <w:rsid w:val="00740426"/>
    <w:rsid w:val="00740843"/>
    <w:rsid w:val="00743487"/>
    <w:rsid w:val="007438B8"/>
    <w:rsid w:val="007445B2"/>
    <w:rsid w:val="00745262"/>
    <w:rsid w:val="0074706D"/>
    <w:rsid w:val="007477A7"/>
    <w:rsid w:val="00747D94"/>
    <w:rsid w:val="00747E76"/>
    <w:rsid w:val="007514BC"/>
    <w:rsid w:val="0075181C"/>
    <w:rsid w:val="00753A12"/>
    <w:rsid w:val="00753B0B"/>
    <w:rsid w:val="00755244"/>
    <w:rsid w:val="00757F20"/>
    <w:rsid w:val="0076047A"/>
    <w:rsid w:val="007613F4"/>
    <w:rsid w:val="007637F4"/>
    <w:rsid w:val="00763974"/>
    <w:rsid w:val="007639AB"/>
    <w:rsid w:val="007639EA"/>
    <w:rsid w:val="00763A82"/>
    <w:rsid w:val="007646CF"/>
    <w:rsid w:val="00764EB0"/>
    <w:rsid w:val="00766710"/>
    <w:rsid w:val="00767C5F"/>
    <w:rsid w:val="00770167"/>
    <w:rsid w:val="0077208B"/>
    <w:rsid w:val="0077262F"/>
    <w:rsid w:val="00772BAB"/>
    <w:rsid w:val="0077343C"/>
    <w:rsid w:val="007736F8"/>
    <w:rsid w:val="007739DA"/>
    <w:rsid w:val="007739FE"/>
    <w:rsid w:val="00774421"/>
    <w:rsid w:val="00774E14"/>
    <w:rsid w:val="007751D1"/>
    <w:rsid w:val="00775D24"/>
    <w:rsid w:val="00775DEF"/>
    <w:rsid w:val="00780064"/>
    <w:rsid w:val="00780F1F"/>
    <w:rsid w:val="0078173A"/>
    <w:rsid w:val="00781AA7"/>
    <w:rsid w:val="007824F7"/>
    <w:rsid w:val="0078256A"/>
    <w:rsid w:val="007879C6"/>
    <w:rsid w:val="00792205"/>
    <w:rsid w:val="007936D0"/>
    <w:rsid w:val="00793E96"/>
    <w:rsid w:val="0079423C"/>
    <w:rsid w:val="00794AC5"/>
    <w:rsid w:val="007963F0"/>
    <w:rsid w:val="00796C9A"/>
    <w:rsid w:val="007A0505"/>
    <w:rsid w:val="007A16B7"/>
    <w:rsid w:val="007A301A"/>
    <w:rsid w:val="007A3998"/>
    <w:rsid w:val="007A4B60"/>
    <w:rsid w:val="007A4E82"/>
    <w:rsid w:val="007B0BD5"/>
    <w:rsid w:val="007B2157"/>
    <w:rsid w:val="007B38A7"/>
    <w:rsid w:val="007B4B54"/>
    <w:rsid w:val="007B639D"/>
    <w:rsid w:val="007B66B7"/>
    <w:rsid w:val="007C3FD6"/>
    <w:rsid w:val="007C59F0"/>
    <w:rsid w:val="007C5ED9"/>
    <w:rsid w:val="007C68DD"/>
    <w:rsid w:val="007C69D7"/>
    <w:rsid w:val="007C7E82"/>
    <w:rsid w:val="007D11AA"/>
    <w:rsid w:val="007D1DF3"/>
    <w:rsid w:val="007D2550"/>
    <w:rsid w:val="007D2A1E"/>
    <w:rsid w:val="007D39A6"/>
    <w:rsid w:val="007D65DC"/>
    <w:rsid w:val="007D7202"/>
    <w:rsid w:val="007D7339"/>
    <w:rsid w:val="007D775C"/>
    <w:rsid w:val="007D7A23"/>
    <w:rsid w:val="007E084C"/>
    <w:rsid w:val="007E09B8"/>
    <w:rsid w:val="007E164C"/>
    <w:rsid w:val="007E24AA"/>
    <w:rsid w:val="007E3970"/>
    <w:rsid w:val="007E44DC"/>
    <w:rsid w:val="007E577B"/>
    <w:rsid w:val="007E6756"/>
    <w:rsid w:val="007E7999"/>
    <w:rsid w:val="007F0A1C"/>
    <w:rsid w:val="007F23A6"/>
    <w:rsid w:val="007F243F"/>
    <w:rsid w:val="007F427E"/>
    <w:rsid w:val="007F4798"/>
    <w:rsid w:val="007F49B3"/>
    <w:rsid w:val="007F5F78"/>
    <w:rsid w:val="00801E59"/>
    <w:rsid w:val="00801F16"/>
    <w:rsid w:val="00806033"/>
    <w:rsid w:val="00806D13"/>
    <w:rsid w:val="00807B2F"/>
    <w:rsid w:val="00807D86"/>
    <w:rsid w:val="008102E7"/>
    <w:rsid w:val="008108CD"/>
    <w:rsid w:val="0081132F"/>
    <w:rsid w:val="00812255"/>
    <w:rsid w:val="008123F1"/>
    <w:rsid w:val="0081332A"/>
    <w:rsid w:val="0081555C"/>
    <w:rsid w:val="00817233"/>
    <w:rsid w:val="00817565"/>
    <w:rsid w:val="00820A21"/>
    <w:rsid w:val="00820D4F"/>
    <w:rsid w:val="00820E61"/>
    <w:rsid w:val="0082126F"/>
    <w:rsid w:val="008216B4"/>
    <w:rsid w:val="008235EB"/>
    <w:rsid w:val="008253BC"/>
    <w:rsid w:val="00825DDF"/>
    <w:rsid w:val="008268B9"/>
    <w:rsid w:val="00830367"/>
    <w:rsid w:val="0083074E"/>
    <w:rsid w:val="00831CBA"/>
    <w:rsid w:val="008321D5"/>
    <w:rsid w:val="00834021"/>
    <w:rsid w:val="0083425C"/>
    <w:rsid w:val="00835E7B"/>
    <w:rsid w:val="008405E5"/>
    <w:rsid w:val="00840B8C"/>
    <w:rsid w:val="00840EC8"/>
    <w:rsid w:val="008413BA"/>
    <w:rsid w:val="00841DF6"/>
    <w:rsid w:val="0084204A"/>
    <w:rsid w:val="008424DC"/>
    <w:rsid w:val="00842E93"/>
    <w:rsid w:val="00844AEC"/>
    <w:rsid w:val="00845AE7"/>
    <w:rsid w:val="00845C26"/>
    <w:rsid w:val="00845DC0"/>
    <w:rsid w:val="008476FF"/>
    <w:rsid w:val="00847812"/>
    <w:rsid w:val="00850383"/>
    <w:rsid w:val="008507F8"/>
    <w:rsid w:val="00851444"/>
    <w:rsid w:val="00853B4E"/>
    <w:rsid w:val="00855F66"/>
    <w:rsid w:val="008565BC"/>
    <w:rsid w:val="00856DF7"/>
    <w:rsid w:val="008579F1"/>
    <w:rsid w:val="00857EFB"/>
    <w:rsid w:val="0086092C"/>
    <w:rsid w:val="008627C6"/>
    <w:rsid w:val="00862D8B"/>
    <w:rsid w:val="00863DE5"/>
    <w:rsid w:val="00865C72"/>
    <w:rsid w:val="00866F16"/>
    <w:rsid w:val="008722E7"/>
    <w:rsid w:val="008737FA"/>
    <w:rsid w:val="00874366"/>
    <w:rsid w:val="0087469F"/>
    <w:rsid w:val="00874700"/>
    <w:rsid w:val="00874D24"/>
    <w:rsid w:val="008757B2"/>
    <w:rsid w:val="00877A7C"/>
    <w:rsid w:val="00880304"/>
    <w:rsid w:val="00880576"/>
    <w:rsid w:val="00882333"/>
    <w:rsid w:val="00882F01"/>
    <w:rsid w:val="00883035"/>
    <w:rsid w:val="008837FF"/>
    <w:rsid w:val="00884F69"/>
    <w:rsid w:val="00884F7E"/>
    <w:rsid w:val="00886677"/>
    <w:rsid w:val="00887284"/>
    <w:rsid w:val="00890951"/>
    <w:rsid w:val="008918A9"/>
    <w:rsid w:val="00891C97"/>
    <w:rsid w:val="008923E1"/>
    <w:rsid w:val="008934EA"/>
    <w:rsid w:val="008937FC"/>
    <w:rsid w:val="00897934"/>
    <w:rsid w:val="00897D29"/>
    <w:rsid w:val="008A1167"/>
    <w:rsid w:val="008A3651"/>
    <w:rsid w:val="008A38C0"/>
    <w:rsid w:val="008A4151"/>
    <w:rsid w:val="008A5A68"/>
    <w:rsid w:val="008A5AB8"/>
    <w:rsid w:val="008A5B78"/>
    <w:rsid w:val="008A778A"/>
    <w:rsid w:val="008B004A"/>
    <w:rsid w:val="008B08F9"/>
    <w:rsid w:val="008B0B57"/>
    <w:rsid w:val="008B0FBD"/>
    <w:rsid w:val="008B2D12"/>
    <w:rsid w:val="008B2F2F"/>
    <w:rsid w:val="008B41BB"/>
    <w:rsid w:val="008B4EAE"/>
    <w:rsid w:val="008B770E"/>
    <w:rsid w:val="008C2333"/>
    <w:rsid w:val="008C263C"/>
    <w:rsid w:val="008C3673"/>
    <w:rsid w:val="008C36A1"/>
    <w:rsid w:val="008C52C2"/>
    <w:rsid w:val="008C76D3"/>
    <w:rsid w:val="008C7706"/>
    <w:rsid w:val="008C774A"/>
    <w:rsid w:val="008D1C81"/>
    <w:rsid w:val="008D23D8"/>
    <w:rsid w:val="008D3384"/>
    <w:rsid w:val="008D378D"/>
    <w:rsid w:val="008D52B6"/>
    <w:rsid w:val="008D5A45"/>
    <w:rsid w:val="008D5EB9"/>
    <w:rsid w:val="008D6048"/>
    <w:rsid w:val="008D6398"/>
    <w:rsid w:val="008D6D80"/>
    <w:rsid w:val="008D74A3"/>
    <w:rsid w:val="008D7525"/>
    <w:rsid w:val="008E0628"/>
    <w:rsid w:val="008E0DF3"/>
    <w:rsid w:val="008E25F8"/>
    <w:rsid w:val="008E506C"/>
    <w:rsid w:val="008E54F8"/>
    <w:rsid w:val="008E5FB0"/>
    <w:rsid w:val="008E673A"/>
    <w:rsid w:val="008F0638"/>
    <w:rsid w:val="008F065C"/>
    <w:rsid w:val="008F1494"/>
    <w:rsid w:val="008F1A4C"/>
    <w:rsid w:val="008F1BA3"/>
    <w:rsid w:val="008F3C7D"/>
    <w:rsid w:val="008F45B0"/>
    <w:rsid w:val="008F697E"/>
    <w:rsid w:val="008F7426"/>
    <w:rsid w:val="009009A4"/>
    <w:rsid w:val="00901D49"/>
    <w:rsid w:val="009027A0"/>
    <w:rsid w:val="00904440"/>
    <w:rsid w:val="00905C3E"/>
    <w:rsid w:val="00907FC2"/>
    <w:rsid w:val="0091063D"/>
    <w:rsid w:val="00914235"/>
    <w:rsid w:val="00914293"/>
    <w:rsid w:val="0091596C"/>
    <w:rsid w:val="00917D27"/>
    <w:rsid w:val="0092107E"/>
    <w:rsid w:val="009228D3"/>
    <w:rsid w:val="009228DB"/>
    <w:rsid w:val="00924CCD"/>
    <w:rsid w:val="00925020"/>
    <w:rsid w:val="00926F7D"/>
    <w:rsid w:val="00927246"/>
    <w:rsid w:val="00930E9D"/>
    <w:rsid w:val="00931573"/>
    <w:rsid w:val="00932099"/>
    <w:rsid w:val="00933166"/>
    <w:rsid w:val="00933FF8"/>
    <w:rsid w:val="00935062"/>
    <w:rsid w:val="00935467"/>
    <w:rsid w:val="00935C7B"/>
    <w:rsid w:val="00935D2A"/>
    <w:rsid w:val="0093710E"/>
    <w:rsid w:val="009379C1"/>
    <w:rsid w:val="00941102"/>
    <w:rsid w:val="0094140B"/>
    <w:rsid w:val="0094430C"/>
    <w:rsid w:val="00944ADB"/>
    <w:rsid w:val="0094577E"/>
    <w:rsid w:val="00945A78"/>
    <w:rsid w:val="00946A09"/>
    <w:rsid w:val="00946B0A"/>
    <w:rsid w:val="00947519"/>
    <w:rsid w:val="00952713"/>
    <w:rsid w:val="009528D7"/>
    <w:rsid w:val="00952F85"/>
    <w:rsid w:val="00954385"/>
    <w:rsid w:val="00954968"/>
    <w:rsid w:val="00954B28"/>
    <w:rsid w:val="00955048"/>
    <w:rsid w:val="009554B9"/>
    <w:rsid w:val="00955570"/>
    <w:rsid w:val="00955B5B"/>
    <w:rsid w:val="00962660"/>
    <w:rsid w:val="009628AA"/>
    <w:rsid w:val="0096397E"/>
    <w:rsid w:val="00963DBF"/>
    <w:rsid w:val="00965003"/>
    <w:rsid w:val="00965DB6"/>
    <w:rsid w:val="00965FE8"/>
    <w:rsid w:val="00966E33"/>
    <w:rsid w:val="009672DF"/>
    <w:rsid w:val="00967780"/>
    <w:rsid w:val="00967B9A"/>
    <w:rsid w:val="009709B0"/>
    <w:rsid w:val="00971096"/>
    <w:rsid w:val="00971348"/>
    <w:rsid w:val="009728DF"/>
    <w:rsid w:val="00973005"/>
    <w:rsid w:val="00973EF8"/>
    <w:rsid w:val="00974EF7"/>
    <w:rsid w:val="00976C70"/>
    <w:rsid w:val="00980C52"/>
    <w:rsid w:val="00980C78"/>
    <w:rsid w:val="009838FB"/>
    <w:rsid w:val="00983955"/>
    <w:rsid w:val="009860E4"/>
    <w:rsid w:val="00986B56"/>
    <w:rsid w:val="00990C4F"/>
    <w:rsid w:val="00992957"/>
    <w:rsid w:val="00993342"/>
    <w:rsid w:val="00993BA5"/>
    <w:rsid w:val="009942B8"/>
    <w:rsid w:val="00994F14"/>
    <w:rsid w:val="0099512F"/>
    <w:rsid w:val="009A0259"/>
    <w:rsid w:val="009A222D"/>
    <w:rsid w:val="009A2A6F"/>
    <w:rsid w:val="009A2DA2"/>
    <w:rsid w:val="009A317E"/>
    <w:rsid w:val="009A3BCA"/>
    <w:rsid w:val="009A63B1"/>
    <w:rsid w:val="009A65C1"/>
    <w:rsid w:val="009A65CA"/>
    <w:rsid w:val="009A7E65"/>
    <w:rsid w:val="009B073C"/>
    <w:rsid w:val="009B100D"/>
    <w:rsid w:val="009B24F7"/>
    <w:rsid w:val="009B291D"/>
    <w:rsid w:val="009B33C8"/>
    <w:rsid w:val="009B41B2"/>
    <w:rsid w:val="009B580F"/>
    <w:rsid w:val="009B5C68"/>
    <w:rsid w:val="009C32B5"/>
    <w:rsid w:val="009C5026"/>
    <w:rsid w:val="009C5651"/>
    <w:rsid w:val="009C797B"/>
    <w:rsid w:val="009C7B1E"/>
    <w:rsid w:val="009C7E93"/>
    <w:rsid w:val="009D0FC9"/>
    <w:rsid w:val="009D1BD5"/>
    <w:rsid w:val="009D1E3D"/>
    <w:rsid w:val="009D200F"/>
    <w:rsid w:val="009D2B70"/>
    <w:rsid w:val="009D4F90"/>
    <w:rsid w:val="009D64B5"/>
    <w:rsid w:val="009D6AF5"/>
    <w:rsid w:val="009D740B"/>
    <w:rsid w:val="009E0CC3"/>
    <w:rsid w:val="009E175B"/>
    <w:rsid w:val="009E1C1C"/>
    <w:rsid w:val="009E2BD5"/>
    <w:rsid w:val="009E4BE9"/>
    <w:rsid w:val="009E4F92"/>
    <w:rsid w:val="009E63BC"/>
    <w:rsid w:val="009E664B"/>
    <w:rsid w:val="009E73CA"/>
    <w:rsid w:val="009E797D"/>
    <w:rsid w:val="009E7BD2"/>
    <w:rsid w:val="009F0E4A"/>
    <w:rsid w:val="009F18D3"/>
    <w:rsid w:val="009F1FEA"/>
    <w:rsid w:val="009F252F"/>
    <w:rsid w:val="009F4EBA"/>
    <w:rsid w:val="009F5315"/>
    <w:rsid w:val="009F65C9"/>
    <w:rsid w:val="009F71D0"/>
    <w:rsid w:val="009F75DE"/>
    <w:rsid w:val="009F7B8F"/>
    <w:rsid w:val="00A00E42"/>
    <w:rsid w:val="00A01D7C"/>
    <w:rsid w:val="00A03569"/>
    <w:rsid w:val="00A04358"/>
    <w:rsid w:val="00A05407"/>
    <w:rsid w:val="00A05B54"/>
    <w:rsid w:val="00A05C7C"/>
    <w:rsid w:val="00A064E9"/>
    <w:rsid w:val="00A068D4"/>
    <w:rsid w:val="00A06C85"/>
    <w:rsid w:val="00A0725D"/>
    <w:rsid w:val="00A12763"/>
    <w:rsid w:val="00A131DF"/>
    <w:rsid w:val="00A14399"/>
    <w:rsid w:val="00A146A1"/>
    <w:rsid w:val="00A165D1"/>
    <w:rsid w:val="00A1664E"/>
    <w:rsid w:val="00A17901"/>
    <w:rsid w:val="00A22408"/>
    <w:rsid w:val="00A23DDA"/>
    <w:rsid w:val="00A24B7C"/>
    <w:rsid w:val="00A24F9E"/>
    <w:rsid w:val="00A25CE1"/>
    <w:rsid w:val="00A26628"/>
    <w:rsid w:val="00A270EC"/>
    <w:rsid w:val="00A27386"/>
    <w:rsid w:val="00A30A30"/>
    <w:rsid w:val="00A31FB6"/>
    <w:rsid w:val="00A31FE8"/>
    <w:rsid w:val="00A32C88"/>
    <w:rsid w:val="00A32E78"/>
    <w:rsid w:val="00A3515F"/>
    <w:rsid w:val="00A3735C"/>
    <w:rsid w:val="00A4014A"/>
    <w:rsid w:val="00A41A44"/>
    <w:rsid w:val="00A41B33"/>
    <w:rsid w:val="00A42D0D"/>
    <w:rsid w:val="00A4310C"/>
    <w:rsid w:val="00A43F0C"/>
    <w:rsid w:val="00A44232"/>
    <w:rsid w:val="00A46246"/>
    <w:rsid w:val="00A46385"/>
    <w:rsid w:val="00A50059"/>
    <w:rsid w:val="00A5049D"/>
    <w:rsid w:val="00A50B39"/>
    <w:rsid w:val="00A52C14"/>
    <w:rsid w:val="00A5398D"/>
    <w:rsid w:val="00A54B73"/>
    <w:rsid w:val="00A56207"/>
    <w:rsid w:val="00A608B3"/>
    <w:rsid w:val="00A60E5F"/>
    <w:rsid w:val="00A625E8"/>
    <w:rsid w:val="00A630C2"/>
    <w:rsid w:val="00A634CF"/>
    <w:rsid w:val="00A65071"/>
    <w:rsid w:val="00A65085"/>
    <w:rsid w:val="00A73694"/>
    <w:rsid w:val="00A73A00"/>
    <w:rsid w:val="00A73E8E"/>
    <w:rsid w:val="00A73E90"/>
    <w:rsid w:val="00A74061"/>
    <w:rsid w:val="00A74178"/>
    <w:rsid w:val="00A74C7B"/>
    <w:rsid w:val="00A81314"/>
    <w:rsid w:val="00A81643"/>
    <w:rsid w:val="00A8190B"/>
    <w:rsid w:val="00A83030"/>
    <w:rsid w:val="00A8484E"/>
    <w:rsid w:val="00A84C12"/>
    <w:rsid w:val="00A87A4F"/>
    <w:rsid w:val="00A919C0"/>
    <w:rsid w:val="00A91B37"/>
    <w:rsid w:val="00A921D1"/>
    <w:rsid w:val="00A92FB1"/>
    <w:rsid w:val="00A965E8"/>
    <w:rsid w:val="00A96B37"/>
    <w:rsid w:val="00A96E82"/>
    <w:rsid w:val="00A970B9"/>
    <w:rsid w:val="00A97102"/>
    <w:rsid w:val="00A97AB9"/>
    <w:rsid w:val="00A97DA9"/>
    <w:rsid w:val="00AA118C"/>
    <w:rsid w:val="00AA12CA"/>
    <w:rsid w:val="00AA1A79"/>
    <w:rsid w:val="00AA2484"/>
    <w:rsid w:val="00AA7ED7"/>
    <w:rsid w:val="00AB2132"/>
    <w:rsid w:val="00AB3EF5"/>
    <w:rsid w:val="00AB412D"/>
    <w:rsid w:val="00AB5881"/>
    <w:rsid w:val="00AB61F7"/>
    <w:rsid w:val="00AB7296"/>
    <w:rsid w:val="00AC0B4B"/>
    <w:rsid w:val="00AC22C3"/>
    <w:rsid w:val="00AC2586"/>
    <w:rsid w:val="00AC25A7"/>
    <w:rsid w:val="00AC2756"/>
    <w:rsid w:val="00AC28C6"/>
    <w:rsid w:val="00AC35F3"/>
    <w:rsid w:val="00AC41A5"/>
    <w:rsid w:val="00AC43A8"/>
    <w:rsid w:val="00AC4F9D"/>
    <w:rsid w:val="00AC5491"/>
    <w:rsid w:val="00AC5643"/>
    <w:rsid w:val="00AC6964"/>
    <w:rsid w:val="00AC697A"/>
    <w:rsid w:val="00AD0878"/>
    <w:rsid w:val="00AD130D"/>
    <w:rsid w:val="00AD17EE"/>
    <w:rsid w:val="00AD22A8"/>
    <w:rsid w:val="00AD370A"/>
    <w:rsid w:val="00AD3CE8"/>
    <w:rsid w:val="00AD7F97"/>
    <w:rsid w:val="00AE08EB"/>
    <w:rsid w:val="00AE1960"/>
    <w:rsid w:val="00AE31CA"/>
    <w:rsid w:val="00AE3C5C"/>
    <w:rsid w:val="00AE494D"/>
    <w:rsid w:val="00AE7161"/>
    <w:rsid w:val="00AE77C2"/>
    <w:rsid w:val="00AF0075"/>
    <w:rsid w:val="00AF159D"/>
    <w:rsid w:val="00AF1738"/>
    <w:rsid w:val="00AF1A2A"/>
    <w:rsid w:val="00AF3A96"/>
    <w:rsid w:val="00AF3E7A"/>
    <w:rsid w:val="00AF50A9"/>
    <w:rsid w:val="00AF5531"/>
    <w:rsid w:val="00AF5F7F"/>
    <w:rsid w:val="00AF6309"/>
    <w:rsid w:val="00AF68AC"/>
    <w:rsid w:val="00AF6CC0"/>
    <w:rsid w:val="00AF6E12"/>
    <w:rsid w:val="00AF725E"/>
    <w:rsid w:val="00AF7426"/>
    <w:rsid w:val="00B0082B"/>
    <w:rsid w:val="00B0308F"/>
    <w:rsid w:val="00B03F7F"/>
    <w:rsid w:val="00B05521"/>
    <w:rsid w:val="00B05E3F"/>
    <w:rsid w:val="00B07D52"/>
    <w:rsid w:val="00B122A3"/>
    <w:rsid w:val="00B12A66"/>
    <w:rsid w:val="00B13D59"/>
    <w:rsid w:val="00B14FC9"/>
    <w:rsid w:val="00B151C4"/>
    <w:rsid w:val="00B15756"/>
    <w:rsid w:val="00B16CC9"/>
    <w:rsid w:val="00B1741F"/>
    <w:rsid w:val="00B20253"/>
    <w:rsid w:val="00B20E01"/>
    <w:rsid w:val="00B20FBF"/>
    <w:rsid w:val="00B21C27"/>
    <w:rsid w:val="00B2300F"/>
    <w:rsid w:val="00B242D4"/>
    <w:rsid w:val="00B249A5"/>
    <w:rsid w:val="00B26D57"/>
    <w:rsid w:val="00B26FAE"/>
    <w:rsid w:val="00B30884"/>
    <w:rsid w:val="00B30B70"/>
    <w:rsid w:val="00B3229B"/>
    <w:rsid w:val="00B32DAE"/>
    <w:rsid w:val="00B33570"/>
    <w:rsid w:val="00B33C7C"/>
    <w:rsid w:val="00B3439E"/>
    <w:rsid w:val="00B34EB1"/>
    <w:rsid w:val="00B34FE9"/>
    <w:rsid w:val="00B3579B"/>
    <w:rsid w:val="00B35875"/>
    <w:rsid w:val="00B35891"/>
    <w:rsid w:val="00B36639"/>
    <w:rsid w:val="00B3694A"/>
    <w:rsid w:val="00B37262"/>
    <w:rsid w:val="00B40695"/>
    <w:rsid w:val="00B40A69"/>
    <w:rsid w:val="00B4290D"/>
    <w:rsid w:val="00B43FAF"/>
    <w:rsid w:val="00B443B4"/>
    <w:rsid w:val="00B44E97"/>
    <w:rsid w:val="00B476BC"/>
    <w:rsid w:val="00B4798D"/>
    <w:rsid w:val="00B513C4"/>
    <w:rsid w:val="00B517E7"/>
    <w:rsid w:val="00B52D0E"/>
    <w:rsid w:val="00B53BA9"/>
    <w:rsid w:val="00B53E21"/>
    <w:rsid w:val="00B5568B"/>
    <w:rsid w:val="00B55823"/>
    <w:rsid w:val="00B5583E"/>
    <w:rsid w:val="00B55B39"/>
    <w:rsid w:val="00B56212"/>
    <w:rsid w:val="00B60890"/>
    <w:rsid w:val="00B608A7"/>
    <w:rsid w:val="00B65ACF"/>
    <w:rsid w:val="00B65B64"/>
    <w:rsid w:val="00B66704"/>
    <w:rsid w:val="00B66FD7"/>
    <w:rsid w:val="00B66FF0"/>
    <w:rsid w:val="00B678A2"/>
    <w:rsid w:val="00B67E96"/>
    <w:rsid w:val="00B700E9"/>
    <w:rsid w:val="00B70F7A"/>
    <w:rsid w:val="00B71166"/>
    <w:rsid w:val="00B72FB4"/>
    <w:rsid w:val="00B744BB"/>
    <w:rsid w:val="00B76642"/>
    <w:rsid w:val="00B76807"/>
    <w:rsid w:val="00B8035A"/>
    <w:rsid w:val="00B80667"/>
    <w:rsid w:val="00B806FC"/>
    <w:rsid w:val="00B82F40"/>
    <w:rsid w:val="00B847F0"/>
    <w:rsid w:val="00B84B39"/>
    <w:rsid w:val="00B85193"/>
    <w:rsid w:val="00B862BD"/>
    <w:rsid w:val="00B869CA"/>
    <w:rsid w:val="00B92678"/>
    <w:rsid w:val="00B92FA0"/>
    <w:rsid w:val="00B94920"/>
    <w:rsid w:val="00B956C6"/>
    <w:rsid w:val="00B966B4"/>
    <w:rsid w:val="00BA0126"/>
    <w:rsid w:val="00BA2ABE"/>
    <w:rsid w:val="00BA2D84"/>
    <w:rsid w:val="00BA300F"/>
    <w:rsid w:val="00BA3B90"/>
    <w:rsid w:val="00BA4FFA"/>
    <w:rsid w:val="00BA68FF"/>
    <w:rsid w:val="00BB16B6"/>
    <w:rsid w:val="00BB372C"/>
    <w:rsid w:val="00BB3B38"/>
    <w:rsid w:val="00BB6735"/>
    <w:rsid w:val="00BB7254"/>
    <w:rsid w:val="00BB7D84"/>
    <w:rsid w:val="00BC17A7"/>
    <w:rsid w:val="00BC18AE"/>
    <w:rsid w:val="00BC2133"/>
    <w:rsid w:val="00BC39BF"/>
    <w:rsid w:val="00BC3AF3"/>
    <w:rsid w:val="00BC45B0"/>
    <w:rsid w:val="00BC46E7"/>
    <w:rsid w:val="00BD2BFF"/>
    <w:rsid w:val="00BD2CB4"/>
    <w:rsid w:val="00BD395B"/>
    <w:rsid w:val="00BD3DA5"/>
    <w:rsid w:val="00BD4110"/>
    <w:rsid w:val="00BD41C5"/>
    <w:rsid w:val="00BD55E9"/>
    <w:rsid w:val="00BD5C3D"/>
    <w:rsid w:val="00BE04A1"/>
    <w:rsid w:val="00BE2895"/>
    <w:rsid w:val="00BE3094"/>
    <w:rsid w:val="00BE3610"/>
    <w:rsid w:val="00BE3D68"/>
    <w:rsid w:val="00BE446F"/>
    <w:rsid w:val="00BE5668"/>
    <w:rsid w:val="00BF06C2"/>
    <w:rsid w:val="00BF2A3D"/>
    <w:rsid w:val="00BF3411"/>
    <w:rsid w:val="00BF367A"/>
    <w:rsid w:val="00BF37CF"/>
    <w:rsid w:val="00BF3AD4"/>
    <w:rsid w:val="00BF5B1B"/>
    <w:rsid w:val="00BF72BA"/>
    <w:rsid w:val="00BF7533"/>
    <w:rsid w:val="00BF7E34"/>
    <w:rsid w:val="00C00E0A"/>
    <w:rsid w:val="00C027F1"/>
    <w:rsid w:val="00C04DDC"/>
    <w:rsid w:val="00C05D4F"/>
    <w:rsid w:val="00C06768"/>
    <w:rsid w:val="00C06ED5"/>
    <w:rsid w:val="00C06EDE"/>
    <w:rsid w:val="00C10649"/>
    <w:rsid w:val="00C11B30"/>
    <w:rsid w:val="00C12422"/>
    <w:rsid w:val="00C12C0F"/>
    <w:rsid w:val="00C139A1"/>
    <w:rsid w:val="00C1618C"/>
    <w:rsid w:val="00C16C43"/>
    <w:rsid w:val="00C21B07"/>
    <w:rsid w:val="00C2283B"/>
    <w:rsid w:val="00C22BDE"/>
    <w:rsid w:val="00C23F1B"/>
    <w:rsid w:val="00C24BDC"/>
    <w:rsid w:val="00C25542"/>
    <w:rsid w:val="00C25848"/>
    <w:rsid w:val="00C26166"/>
    <w:rsid w:val="00C27355"/>
    <w:rsid w:val="00C27989"/>
    <w:rsid w:val="00C30F55"/>
    <w:rsid w:val="00C3104F"/>
    <w:rsid w:val="00C32493"/>
    <w:rsid w:val="00C32BE2"/>
    <w:rsid w:val="00C32E82"/>
    <w:rsid w:val="00C33256"/>
    <w:rsid w:val="00C344C3"/>
    <w:rsid w:val="00C36A3E"/>
    <w:rsid w:val="00C402A4"/>
    <w:rsid w:val="00C40593"/>
    <w:rsid w:val="00C445D9"/>
    <w:rsid w:val="00C454FE"/>
    <w:rsid w:val="00C458B8"/>
    <w:rsid w:val="00C45A86"/>
    <w:rsid w:val="00C45C0B"/>
    <w:rsid w:val="00C45DFA"/>
    <w:rsid w:val="00C46089"/>
    <w:rsid w:val="00C460E1"/>
    <w:rsid w:val="00C47BC7"/>
    <w:rsid w:val="00C50096"/>
    <w:rsid w:val="00C5054E"/>
    <w:rsid w:val="00C50AA1"/>
    <w:rsid w:val="00C52252"/>
    <w:rsid w:val="00C52373"/>
    <w:rsid w:val="00C530A3"/>
    <w:rsid w:val="00C54021"/>
    <w:rsid w:val="00C55B32"/>
    <w:rsid w:val="00C55C68"/>
    <w:rsid w:val="00C568D4"/>
    <w:rsid w:val="00C56F14"/>
    <w:rsid w:val="00C61CB4"/>
    <w:rsid w:val="00C624F1"/>
    <w:rsid w:val="00C64330"/>
    <w:rsid w:val="00C64B9A"/>
    <w:rsid w:val="00C651C5"/>
    <w:rsid w:val="00C65BDB"/>
    <w:rsid w:val="00C65DC5"/>
    <w:rsid w:val="00C65E0F"/>
    <w:rsid w:val="00C663D9"/>
    <w:rsid w:val="00C664B0"/>
    <w:rsid w:val="00C678A8"/>
    <w:rsid w:val="00C70257"/>
    <w:rsid w:val="00C70770"/>
    <w:rsid w:val="00C70B9A"/>
    <w:rsid w:val="00C71F90"/>
    <w:rsid w:val="00C72022"/>
    <w:rsid w:val="00C72089"/>
    <w:rsid w:val="00C72A87"/>
    <w:rsid w:val="00C72AC9"/>
    <w:rsid w:val="00C730B1"/>
    <w:rsid w:val="00C73903"/>
    <w:rsid w:val="00C73FDF"/>
    <w:rsid w:val="00C75D9A"/>
    <w:rsid w:val="00C80AE4"/>
    <w:rsid w:val="00C819B9"/>
    <w:rsid w:val="00C81BF7"/>
    <w:rsid w:val="00C81D6C"/>
    <w:rsid w:val="00C8239F"/>
    <w:rsid w:val="00C82C5C"/>
    <w:rsid w:val="00C82C6D"/>
    <w:rsid w:val="00C849CB"/>
    <w:rsid w:val="00C8539F"/>
    <w:rsid w:val="00C854A7"/>
    <w:rsid w:val="00C861DF"/>
    <w:rsid w:val="00C8794F"/>
    <w:rsid w:val="00C87C17"/>
    <w:rsid w:val="00C87FF0"/>
    <w:rsid w:val="00C905CD"/>
    <w:rsid w:val="00C9092A"/>
    <w:rsid w:val="00C90DF1"/>
    <w:rsid w:val="00C90DF7"/>
    <w:rsid w:val="00C910AD"/>
    <w:rsid w:val="00C91148"/>
    <w:rsid w:val="00C92905"/>
    <w:rsid w:val="00C931A7"/>
    <w:rsid w:val="00C935D8"/>
    <w:rsid w:val="00C93DEB"/>
    <w:rsid w:val="00C946D2"/>
    <w:rsid w:val="00C95982"/>
    <w:rsid w:val="00CA0957"/>
    <w:rsid w:val="00CA18EC"/>
    <w:rsid w:val="00CA2D6D"/>
    <w:rsid w:val="00CA35C2"/>
    <w:rsid w:val="00CA3736"/>
    <w:rsid w:val="00CA386D"/>
    <w:rsid w:val="00CA4E1E"/>
    <w:rsid w:val="00CA56E4"/>
    <w:rsid w:val="00CA717F"/>
    <w:rsid w:val="00CA7266"/>
    <w:rsid w:val="00CB0077"/>
    <w:rsid w:val="00CB2AE5"/>
    <w:rsid w:val="00CB3F57"/>
    <w:rsid w:val="00CB5EC7"/>
    <w:rsid w:val="00CB68A3"/>
    <w:rsid w:val="00CB6981"/>
    <w:rsid w:val="00CB741E"/>
    <w:rsid w:val="00CC01B9"/>
    <w:rsid w:val="00CC01D8"/>
    <w:rsid w:val="00CC0E62"/>
    <w:rsid w:val="00CC133D"/>
    <w:rsid w:val="00CC1AF5"/>
    <w:rsid w:val="00CC28AB"/>
    <w:rsid w:val="00CC2CCB"/>
    <w:rsid w:val="00CC3384"/>
    <w:rsid w:val="00CC4166"/>
    <w:rsid w:val="00CC423A"/>
    <w:rsid w:val="00CC5565"/>
    <w:rsid w:val="00CC59DB"/>
    <w:rsid w:val="00CC6CF0"/>
    <w:rsid w:val="00CC781E"/>
    <w:rsid w:val="00CD0625"/>
    <w:rsid w:val="00CD1836"/>
    <w:rsid w:val="00CD1B65"/>
    <w:rsid w:val="00CD1C42"/>
    <w:rsid w:val="00CD2A2D"/>
    <w:rsid w:val="00CD3B44"/>
    <w:rsid w:val="00CD4F69"/>
    <w:rsid w:val="00CD699D"/>
    <w:rsid w:val="00CD7844"/>
    <w:rsid w:val="00CE19A0"/>
    <w:rsid w:val="00CE1D61"/>
    <w:rsid w:val="00CE25A5"/>
    <w:rsid w:val="00CE2C61"/>
    <w:rsid w:val="00CE52D6"/>
    <w:rsid w:val="00CE5B19"/>
    <w:rsid w:val="00CE68B0"/>
    <w:rsid w:val="00CE7573"/>
    <w:rsid w:val="00CF3CA7"/>
    <w:rsid w:val="00CF6386"/>
    <w:rsid w:val="00CF75F6"/>
    <w:rsid w:val="00D00EED"/>
    <w:rsid w:val="00D0172A"/>
    <w:rsid w:val="00D03279"/>
    <w:rsid w:val="00D03FE0"/>
    <w:rsid w:val="00D04396"/>
    <w:rsid w:val="00D05EFE"/>
    <w:rsid w:val="00D063DE"/>
    <w:rsid w:val="00D069D3"/>
    <w:rsid w:val="00D10F81"/>
    <w:rsid w:val="00D1138D"/>
    <w:rsid w:val="00D1225C"/>
    <w:rsid w:val="00D12B13"/>
    <w:rsid w:val="00D13AE7"/>
    <w:rsid w:val="00D142FE"/>
    <w:rsid w:val="00D14B38"/>
    <w:rsid w:val="00D15411"/>
    <w:rsid w:val="00D163E3"/>
    <w:rsid w:val="00D16421"/>
    <w:rsid w:val="00D16BA4"/>
    <w:rsid w:val="00D178B4"/>
    <w:rsid w:val="00D20C84"/>
    <w:rsid w:val="00D21A51"/>
    <w:rsid w:val="00D22595"/>
    <w:rsid w:val="00D252E8"/>
    <w:rsid w:val="00D25BAB"/>
    <w:rsid w:val="00D263B9"/>
    <w:rsid w:val="00D31B39"/>
    <w:rsid w:val="00D32BA0"/>
    <w:rsid w:val="00D339FB"/>
    <w:rsid w:val="00D35EAF"/>
    <w:rsid w:val="00D376E5"/>
    <w:rsid w:val="00D402C9"/>
    <w:rsid w:val="00D403C8"/>
    <w:rsid w:val="00D40ED7"/>
    <w:rsid w:val="00D41A0B"/>
    <w:rsid w:val="00D436D2"/>
    <w:rsid w:val="00D462E2"/>
    <w:rsid w:val="00D500AC"/>
    <w:rsid w:val="00D50287"/>
    <w:rsid w:val="00D50B92"/>
    <w:rsid w:val="00D5162A"/>
    <w:rsid w:val="00D51E0F"/>
    <w:rsid w:val="00D56760"/>
    <w:rsid w:val="00D56A4C"/>
    <w:rsid w:val="00D5770A"/>
    <w:rsid w:val="00D57931"/>
    <w:rsid w:val="00D579D9"/>
    <w:rsid w:val="00D57AF5"/>
    <w:rsid w:val="00D6104A"/>
    <w:rsid w:val="00D61385"/>
    <w:rsid w:val="00D64797"/>
    <w:rsid w:val="00D65159"/>
    <w:rsid w:val="00D65FBD"/>
    <w:rsid w:val="00D66142"/>
    <w:rsid w:val="00D679A9"/>
    <w:rsid w:val="00D704C2"/>
    <w:rsid w:val="00D72799"/>
    <w:rsid w:val="00D733FA"/>
    <w:rsid w:val="00D73BBC"/>
    <w:rsid w:val="00D749ED"/>
    <w:rsid w:val="00D753EC"/>
    <w:rsid w:val="00D770A6"/>
    <w:rsid w:val="00D77858"/>
    <w:rsid w:val="00D837DB"/>
    <w:rsid w:val="00D83FAF"/>
    <w:rsid w:val="00D842F7"/>
    <w:rsid w:val="00D85B24"/>
    <w:rsid w:val="00D8794A"/>
    <w:rsid w:val="00D94361"/>
    <w:rsid w:val="00D95B75"/>
    <w:rsid w:val="00D96DE0"/>
    <w:rsid w:val="00DA092F"/>
    <w:rsid w:val="00DA0BD8"/>
    <w:rsid w:val="00DA0F8E"/>
    <w:rsid w:val="00DA181F"/>
    <w:rsid w:val="00DA19BF"/>
    <w:rsid w:val="00DA1A03"/>
    <w:rsid w:val="00DA248E"/>
    <w:rsid w:val="00DA3D96"/>
    <w:rsid w:val="00DA4DD3"/>
    <w:rsid w:val="00DA76D8"/>
    <w:rsid w:val="00DA78D7"/>
    <w:rsid w:val="00DA7D6B"/>
    <w:rsid w:val="00DB023E"/>
    <w:rsid w:val="00DB0315"/>
    <w:rsid w:val="00DB05E1"/>
    <w:rsid w:val="00DB0AC2"/>
    <w:rsid w:val="00DB1B87"/>
    <w:rsid w:val="00DB208A"/>
    <w:rsid w:val="00DB257F"/>
    <w:rsid w:val="00DB31B8"/>
    <w:rsid w:val="00DB372C"/>
    <w:rsid w:val="00DB3873"/>
    <w:rsid w:val="00DB3DFA"/>
    <w:rsid w:val="00DB5702"/>
    <w:rsid w:val="00DB58A3"/>
    <w:rsid w:val="00DC188C"/>
    <w:rsid w:val="00DC2004"/>
    <w:rsid w:val="00DC2387"/>
    <w:rsid w:val="00DC3516"/>
    <w:rsid w:val="00DC4AA2"/>
    <w:rsid w:val="00DC5CC1"/>
    <w:rsid w:val="00DC6383"/>
    <w:rsid w:val="00DC6B79"/>
    <w:rsid w:val="00DD00AE"/>
    <w:rsid w:val="00DD275D"/>
    <w:rsid w:val="00DD2AA5"/>
    <w:rsid w:val="00DD2E8D"/>
    <w:rsid w:val="00DD3C83"/>
    <w:rsid w:val="00DD500B"/>
    <w:rsid w:val="00DD5886"/>
    <w:rsid w:val="00DD6091"/>
    <w:rsid w:val="00DD672C"/>
    <w:rsid w:val="00DD7741"/>
    <w:rsid w:val="00DE240B"/>
    <w:rsid w:val="00DE29E6"/>
    <w:rsid w:val="00DE39B0"/>
    <w:rsid w:val="00DE3A20"/>
    <w:rsid w:val="00DE3F54"/>
    <w:rsid w:val="00DE51D6"/>
    <w:rsid w:val="00DE54DE"/>
    <w:rsid w:val="00DF1175"/>
    <w:rsid w:val="00DF1657"/>
    <w:rsid w:val="00DF1A35"/>
    <w:rsid w:val="00DF1CE2"/>
    <w:rsid w:val="00DF2DB3"/>
    <w:rsid w:val="00DF2E42"/>
    <w:rsid w:val="00DF42FA"/>
    <w:rsid w:val="00DF51B3"/>
    <w:rsid w:val="00E00265"/>
    <w:rsid w:val="00E00D3B"/>
    <w:rsid w:val="00E014D7"/>
    <w:rsid w:val="00E01C35"/>
    <w:rsid w:val="00E043C5"/>
    <w:rsid w:val="00E04FB4"/>
    <w:rsid w:val="00E05777"/>
    <w:rsid w:val="00E05D95"/>
    <w:rsid w:val="00E06298"/>
    <w:rsid w:val="00E06588"/>
    <w:rsid w:val="00E075B2"/>
    <w:rsid w:val="00E10E2D"/>
    <w:rsid w:val="00E113DE"/>
    <w:rsid w:val="00E12634"/>
    <w:rsid w:val="00E12CB5"/>
    <w:rsid w:val="00E20EBE"/>
    <w:rsid w:val="00E23695"/>
    <w:rsid w:val="00E255AC"/>
    <w:rsid w:val="00E304D8"/>
    <w:rsid w:val="00E306AF"/>
    <w:rsid w:val="00E30891"/>
    <w:rsid w:val="00E31E7A"/>
    <w:rsid w:val="00E33804"/>
    <w:rsid w:val="00E34616"/>
    <w:rsid w:val="00E35772"/>
    <w:rsid w:val="00E35846"/>
    <w:rsid w:val="00E36266"/>
    <w:rsid w:val="00E36CE5"/>
    <w:rsid w:val="00E40CCA"/>
    <w:rsid w:val="00E41061"/>
    <w:rsid w:val="00E410D1"/>
    <w:rsid w:val="00E44700"/>
    <w:rsid w:val="00E456BC"/>
    <w:rsid w:val="00E45C72"/>
    <w:rsid w:val="00E50032"/>
    <w:rsid w:val="00E50264"/>
    <w:rsid w:val="00E51B06"/>
    <w:rsid w:val="00E520F2"/>
    <w:rsid w:val="00E543C8"/>
    <w:rsid w:val="00E54B01"/>
    <w:rsid w:val="00E55286"/>
    <w:rsid w:val="00E60581"/>
    <w:rsid w:val="00E6274F"/>
    <w:rsid w:val="00E63586"/>
    <w:rsid w:val="00E6382E"/>
    <w:rsid w:val="00E63AA2"/>
    <w:rsid w:val="00E64730"/>
    <w:rsid w:val="00E64F68"/>
    <w:rsid w:val="00E677B9"/>
    <w:rsid w:val="00E67F11"/>
    <w:rsid w:val="00E70352"/>
    <w:rsid w:val="00E707E8"/>
    <w:rsid w:val="00E707F3"/>
    <w:rsid w:val="00E74C7F"/>
    <w:rsid w:val="00E77C74"/>
    <w:rsid w:val="00E8070F"/>
    <w:rsid w:val="00E812F3"/>
    <w:rsid w:val="00E81535"/>
    <w:rsid w:val="00E82F99"/>
    <w:rsid w:val="00E8301D"/>
    <w:rsid w:val="00E83A28"/>
    <w:rsid w:val="00E83C61"/>
    <w:rsid w:val="00E847CA"/>
    <w:rsid w:val="00E861BB"/>
    <w:rsid w:val="00E870D2"/>
    <w:rsid w:val="00E8710F"/>
    <w:rsid w:val="00E87F86"/>
    <w:rsid w:val="00E91E62"/>
    <w:rsid w:val="00E9321A"/>
    <w:rsid w:val="00E95C98"/>
    <w:rsid w:val="00E95DC2"/>
    <w:rsid w:val="00EA021D"/>
    <w:rsid w:val="00EA0E3A"/>
    <w:rsid w:val="00EA11A9"/>
    <w:rsid w:val="00EA1345"/>
    <w:rsid w:val="00EA30D4"/>
    <w:rsid w:val="00EA39BD"/>
    <w:rsid w:val="00EA45F7"/>
    <w:rsid w:val="00EA5123"/>
    <w:rsid w:val="00EA60C3"/>
    <w:rsid w:val="00EA79BB"/>
    <w:rsid w:val="00EB0445"/>
    <w:rsid w:val="00EB0D2F"/>
    <w:rsid w:val="00EB2372"/>
    <w:rsid w:val="00EB28C7"/>
    <w:rsid w:val="00EB2E85"/>
    <w:rsid w:val="00EB5EB3"/>
    <w:rsid w:val="00EB645A"/>
    <w:rsid w:val="00EB66DA"/>
    <w:rsid w:val="00EB6A86"/>
    <w:rsid w:val="00EB6C4C"/>
    <w:rsid w:val="00EB784B"/>
    <w:rsid w:val="00EB7B57"/>
    <w:rsid w:val="00EC0C04"/>
    <w:rsid w:val="00EC0CC0"/>
    <w:rsid w:val="00EC10C3"/>
    <w:rsid w:val="00EC1FF2"/>
    <w:rsid w:val="00EC307A"/>
    <w:rsid w:val="00EC55AA"/>
    <w:rsid w:val="00EC75E6"/>
    <w:rsid w:val="00EC7711"/>
    <w:rsid w:val="00ED1878"/>
    <w:rsid w:val="00ED27A1"/>
    <w:rsid w:val="00ED2BB1"/>
    <w:rsid w:val="00ED4522"/>
    <w:rsid w:val="00ED47C9"/>
    <w:rsid w:val="00ED6182"/>
    <w:rsid w:val="00ED79D5"/>
    <w:rsid w:val="00ED79F2"/>
    <w:rsid w:val="00EE0330"/>
    <w:rsid w:val="00EE1913"/>
    <w:rsid w:val="00EE25EE"/>
    <w:rsid w:val="00EE307A"/>
    <w:rsid w:val="00EE3CF5"/>
    <w:rsid w:val="00EE4054"/>
    <w:rsid w:val="00EE4867"/>
    <w:rsid w:val="00EE5CB8"/>
    <w:rsid w:val="00EE5DCD"/>
    <w:rsid w:val="00EE704F"/>
    <w:rsid w:val="00EE7E15"/>
    <w:rsid w:val="00EF1123"/>
    <w:rsid w:val="00EF14D8"/>
    <w:rsid w:val="00EF1821"/>
    <w:rsid w:val="00EF2839"/>
    <w:rsid w:val="00EF28DF"/>
    <w:rsid w:val="00EF42E7"/>
    <w:rsid w:val="00EF67BF"/>
    <w:rsid w:val="00EF7CCF"/>
    <w:rsid w:val="00F00FA1"/>
    <w:rsid w:val="00F01F44"/>
    <w:rsid w:val="00F01F4B"/>
    <w:rsid w:val="00F042BB"/>
    <w:rsid w:val="00F053C7"/>
    <w:rsid w:val="00F059C6"/>
    <w:rsid w:val="00F074D3"/>
    <w:rsid w:val="00F105FA"/>
    <w:rsid w:val="00F10BD1"/>
    <w:rsid w:val="00F11C2E"/>
    <w:rsid w:val="00F12291"/>
    <w:rsid w:val="00F12A09"/>
    <w:rsid w:val="00F12CF2"/>
    <w:rsid w:val="00F1346B"/>
    <w:rsid w:val="00F14CDD"/>
    <w:rsid w:val="00F15FA3"/>
    <w:rsid w:val="00F163B9"/>
    <w:rsid w:val="00F16BFB"/>
    <w:rsid w:val="00F16D6D"/>
    <w:rsid w:val="00F17BA4"/>
    <w:rsid w:val="00F2293F"/>
    <w:rsid w:val="00F2496C"/>
    <w:rsid w:val="00F25538"/>
    <w:rsid w:val="00F259A3"/>
    <w:rsid w:val="00F260CD"/>
    <w:rsid w:val="00F269BA"/>
    <w:rsid w:val="00F26DBF"/>
    <w:rsid w:val="00F306F3"/>
    <w:rsid w:val="00F308D0"/>
    <w:rsid w:val="00F3102C"/>
    <w:rsid w:val="00F32863"/>
    <w:rsid w:val="00F32D05"/>
    <w:rsid w:val="00F33062"/>
    <w:rsid w:val="00F338D8"/>
    <w:rsid w:val="00F34331"/>
    <w:rsid w:val="00F34F3B"/>
    <w:rsid w:val="00F36269"/>
    <w:rsid w:val="00F42486"/>
    <w:rsid w:val="00F42B58"/>
    <w:rsid w:val="00F43622"/>
    <w:rsid w:val="00F438FE"/>
    <w:rsid w:val="00F44259"/>
    <w:rsid w:val="00F45048"/>
    <w:rsid w:val="00F45F60"/>
    <w:rsid w:val="00F4671A"/>
    <w:rsid w:val="00F4675B"/>
    <w:rsid w:val="00F4717F"/>
    <w:rsid w:val="00F5336B"/>
    <w:rsid w:val="00F537AB"/>
    <w:rsid w:val="00F6041A"/>
    <w:rsid w:val="00F60502"/>
    <w:rsid w:val="00F60C7C"/>
    <w:rsid w:val="00F60ECC"/>
    <w:rsid w:val="00F60F5F"/>
    <w:rsid w:val="00F61413"/>
    <w:rsid w:val="00F61772"/>
    <w:rsid w:val="00F6196E"/>
    <w:rsid w:val="00F63171"/>
    <w:rsid w:val="00F63206"/>
    <w:rsid w:val="00F635D7"/>
    <w:rsid w:val="00F6610E"/>
    <w:rsid w:val="00F673DC"/>
    <w:rsid w:val="00F70901"/>
    <w:rsid w:val="00F70FC4"/>
    <w:rsid w:val="00F7180A"/>
    <w:rsid w:val="00F718E9"/>
    <w:rsid w:val="00F71D0F"/>
    <w:rsid w:val="00F72701"/>
    <w:rsid w:val="00F732C9"/>
    <w:rsid w:val="00F73960"/>
    <w:rsid w:val="00F74002"/>
    <w:rsid w:val="00F7416E"/>
    <w:rsid w:val="00F743B7"/>
    <w:rsid w:val="00F75D74"/>
    <w:rsid w:val="00F80534"/>
    <w:rsid w:val="00F8297C"/>
    <w:rsid w:val="00F82991"/>
    <w:rsid w:val="00F82B30"/>
    <w:rsid w:val="00F82BB4"/>
    <w:rsid w:val="00F86506"/>
    <w:rsid w:val="00F87E14"/>
    <w:rsid w:val="00F92316"/>
    <w:rsid w:val="00F96FE9"/>
    <w:rsid w:val="00FA222E"/>
    <w:rsid w:val="00FA6E9C"/>
    <w:rsid w:val="00FB149A"/>
    <w:rsid w:val="00FB2F5E"/>
    <w:rsid w:val="00FB56E2"/>
    <w:rsid w:val="00FB5ABC"/>
    <w:rsid w:val="00FB70B1"/>
    <w:rsid w:val="00FB76FE"/>
    <w:rsid w:val="00FB796E"/>
    <w:rsid w:val="00FC0A6B"/>
    <w:rsid w:val="00FC106D"/>
    <w:rsid w:val="00FC1D5E"/>
    <w:rsid w:val="00FC1ED1"/>
    <w:rsid w:val="00FC24C4"/>
    <w:rsid w:val="00FC3874"/>
    <w:rsid w:val="00FC4114"/>
    <w:rsid w:val="00FC4ED6"/>
    <w:rsid w:val="00FC561D"/>
    <w:rsid w:val="00FC676C"/>
    <w:rsid w:val="00FC6FB2"/>
    <w:rsid w:val="00FC7EA3"/>
    <w:rsid w:val="00FD1762"/>
    <w:rsid w:val="00FD1AAF"/>
    <w:rsid w:val="00FD2D24"/>
    <w:rsid w:val="00FD2EEC"/>
    <w:rsid w:val="00FD3594"/>
    <w:rsid w:val="00FD6D7A"/>
    <w:rsid w:val="00FE12BA"/>
    <w:rsid w:val="00FE70DE"/>
    <w:rsid w:val="00FE7CFF"/>
    <w:rsid w:val="00FF1439"/>
    <w:rsid w:val="00FF2EA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714B3E"/>
    <w:rPr>
      <w:rFonts w:ascii="Times New Roman" w:eastAsia="Times New Roman" w:hAnsi="Times New Roman"/>
      <w:sz w:val="24"/>
      <w:szCs w:val="24"/>
    </w:rPr>
  </w:style>
  <w:style w:type="paragraph" w:styleId="2">
    <w:name w:val="heading 2"/>
    <w:basedOn w:val="a"/>
    <w:next w:val="a"/>
    <w:link w:val="20"/>
    <w:uiPriority w:val="99"/>
    <w:qFormat/>
    <w:locked/>
    <w:rsid w:val="006E3928"/>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rsid w:val="00EB784B"/>
    <w:pPr>
      <w:keepNext/>
      <w:keepLines/>
      <w:spacing w:before="200"/>
      <w:outlineLvl w:val="2"/>
    </w:pPr>
    <w:rPr>
      <w:rFonts w:ascii="Cambria" w:hAnsi="Cambria" w:cs="Cambria"/>
      <w:b/>
      <w:bCs/>
      <w:color w:val="4F81BD"/>
    </w:rPr>
  </w:style>
  <w:style w:type="paragraph" w:styleId="5">
    <w:name w:val="heading 5"/>
    <w:basedOn w:val="a"/>
    <w:next w:val="a"/>
    <w:link w:val="50"/>
    <w:uiPriority w:val="99"/>
    <w:qFormat/>
    <w:locked/>
    <w:rsid w:val="008565BC"/>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semiHidden/>
    <w:locked/>
    <w:rsid w:val="00B33570"/>
    <w:rPr>
      <w:rFonts w:ascii="Cambria" w:hAnsi="Cambria" w:cs="Cambria"/>
      <w:b/>
      <w:bCs/>
      <w:i/>
      <w:iCs/>
      <w:sz w:val="28"/>
      <w:szCs w:val="28"/>
    </w:rPr>
  </w:style>
  <w:style w:type="character" w:customStyle="1" w:styleId="30">
    <w:name w:val="Заголовок 3 Знак"/>
    <w:basedOn w:val="a0"/>
    <w:link w:val="3"/>
    <w:uiPriority w:val="99"/>
    <w:semiHidden/>
    <w:locked/>
    <w:rsid w:val="00EB784B"/>
    <w:rPr>
      <w:rFonts w:ascii="Cambria" w:hAnsi="Cambria" w:cs="Cambria"/>
      <w:b/>
      <w:bCs/>
      <w:color w:val="4F81BD"/>
      <w:sz w:val="24"/>
      <w:szCs w:val="24"/>
    </w:rPr>
  </w:style>
  <w:style w:type="character" w:customStyle="1" w:styleId="50">
    <w:name w:val="Заголовок 5 Знак"/>
    <w:basedOn w:val="a0"/>
    <w:link w:val="5"/>
    <w:uiPriority w:val="99"/>
    <w:semiHidden/>
    <w:locked/>
    <w:rsid w:val="008B2D12"/>
    <w:rPr>
      <w:rFonts w:ascii="Calibri" w:hAnsi="Calibri" w:cs="Calibri"/>
      <w:b/>
      <w:bCs/>
      <w:i/>
      <w:iCs/>
      <w:sz w:val="26"/>
      <w:szCs w:val="26"/>
    </w:rPr>
  </w:style>
  <w:style w:type="paragraph" w:styleId="a3">
    <w:name w:val="List Paragraph"/>
    <w:basedOn w:val="a"/>
    <w:uiPriority w:val="99"/>
    <w:qFormat/>
    <w:rsid w:val="00714B3E"/>
    <w:pPr>
      <w:ind w:left="720"/>
    </w:pPr>
    <w:rPr>
      <w:lang w:val="uk-UA"/>
    </w:rPr>
  </w:style>
  <w:style w:type="paragraph" w:styleId="a4">
    <w:name w:val="footnote text"/>
    <w:basedOn w:val="a"/>
    <w:link w:val="a5"/>
    <w:uiPriority w:val="99"/>
    <w:semiHidden/>
    <w:rsid w:val="00801E59"/>
    <w:rPr>
      <w:sz w:val="20"/>
      <w:szCs w:val="20"/>
    </w:rPr>
  </w:style>
  <w:style w:type="character" w:customStyle="1" w:styleId="a5">
    <w:name w:val="Текст сноски Знак"/>
    <w:basedOn w:val="a0"/>
    <w:link w:val="a4"/>
    <w:uiPriority w:val="99"/>
    <w:semiHidden/>
    <w:locked/>
    <w:rsid w:val="00801E59"/>
    <w:rPr>
      <w:rFonts w:ascii="Times New Roman" w:hAnsi="Times New Roman" w:cs="Times New Roman"/>
      <w:sz w:val="20"/>
      <w:szCs w:val="20"/>
      <w:lang w:val="ru-RU" w:eastAsia="ru-RU"/>
    </w:rPr>
  </w:style>
  <w:style w:type="character" w:styleId="a6">
    <w:name w:val="footnote reference"/>
    <w:basedOn w:val="a0"/>
    <w:uiPriority w:val="99"/>
    <w:semiHidden/>
    <w:rsid w:val="00801E59"/>
    <w:rPr>
      <w:rFonts w:cs="Times New Roman"/>
      <w:vertAlign w:val="superscript"/>
    </w:rPr>
  </w:style>
  <w:style w:type="paragraph" w:styleId="a7">
    <w:name w:val="Balloon Text"/>
    <w:basedOn w:val="a"/>
    <w:link w:val="a8"/>
    <w:uiPriority w:val="99"/>
    <w:semiHidden/>
    <w:rsid w:val="00495222"/>
    <w:rPr>
      <w:rFonts w:ascii="Tahoma" w:hAnsi="Tahoma" w:cs="Tahoma"/>
      <w:sz w:val="16"/>
      <w:szCs w:val="16"/>
    </w:rPr>
  </w:style>
  <w:style w:type="character" w:customStyle="1" w:styleId="a8">
    <w:name w:val="Текст выноски Знак"/>
    <w:basedOn w:val="a0"/>
    <w:link w:val="a7"/>
    <w:uiPriority w:val="99"/>
    <w:semiHidden/>
    <w:locked/>
    <w:rsid w:val="00495222"/>
    <w:rPr>
      <w:rFonts w:ascii="Tahoma" w:hAnsi="Tahoma" w:cs="Tahoma"/>
      <w:sz w:val="16"/>
      <w:szCs w:val="16"/>
    </w:rPr>
  </w:style>
  <w:style w:type="paragraph" w:styleId="a9">
    <w:name w:val="header"/>
    <w:basedOn w:val="a"/>
    <w:link w:val="aa"/>
    <w:uiPriority w:val="99"/>
    <w:rsid w:val="00053666"/>
    <w:pPr>
      <w:tabs>
        <w:tab w:val="center" w:pos="4819"/>
        <w:tab w:val="right" w:pos="9639"/>
      </w:tabs>
    </w:pPr>
  </w:style>
  <w:style w:type="character" w:customStyle="1" w:styleId="aa">
    <w:name w:val="Верхний колонтитул Знак"/>
    <w:basedOn w:val="a0"/>
    <w:link w:val="a9"/>
    <w:uiPriority w:val="99"/>
    <w:locked/>
    <w:rsid w:val="00053666"/>
    <w:rPr>
      <w:rFonts w:ascii="Times New Roman" w:hAnsi="Times New Roman" w:cs="Times New Roman"/>
      <w:sz w:val="24"/>
      <w:szCs w:val="24"/>
    </w:rPr>
  </w:style>
  <w:style w:type="paragraph" w:styleId="ab">
    <w:name w:val="footer"/>
    <w:basedOn w:val="a"/>
    <w:link w:val="ac"/>
    <w:uiPriority w:val="99"/>
    <w:rsid w:val="00053666"/>
    <w:pPr>
      <w:tabs>
        <w:tab w:val="center" w:pos="4819"/>
        <w:tab w:val="right" w:pos="9639"/>
      </w:tabs>
    </w:pPr>
  </w:style>
  <w:style w:type="character" w:customStyle="1" w:styleId="ac">
    <w:name w:val="Нижний колонтитул Знак"/>
    <w:basedOn w:val="a0"/>
    <w:link w:val="ab"/>
    <w:uiPriority w:val="99"/>
    <w:locked/>
    <w:rsid w:val="00053666"/>
    <w:rPr>
      <w:rFonts w:ascii="Times New Roman" w:hAnsi="Times New Roman" w:cs="Times New Roman"/>
      <w:sz w:val="24"/>
      <w:szCs w:val="24"/>
    </w:rPr>
  </w:style>
  <w:style w:type="paragraph" w:styleId="ad">
    <w:name w:val="Revision"/>
    <w:hidden/>
    <w:uiPriority w:val="99"/>
    <w:semiHidden/>
    <w:rsid w:val="00F635D7"/>
    <w:rPr>
      <w:rFonts w:ascii="Times New Roman" w:eastAsia="Times New Roman" w:hAnsi="Times New Roman"/>
      <w:sz w:val="24"/>
      <w:szCs w:val="24"/>
    </w:rPr>
  </w:style>
  <w:style w:type="paragraph" w:customStyle="1" w:styleId="ae">
    <w:name w:val="Нормальний текст"/>
    <w:basedOn w:val="a"/>
    <w:uiPriority w:val="99"/>
    <w:rsid w:val="00E60581"/>
    <w:pPr>
      <w:spacing w:before="120"/>
      <w:ind w:firstLine="567"/>
    </w:pPr>
    <w:rPr>
      <w:rFonts w:ascii="Antiqua" w:eastAsia="Calibri" w:hAnsi="Antiqua" w:cs="Antiqua"/>
      <w:sz w:val="26"/>
      <w:szCs w:val="26"/>
      <w:lang w:val="uk-UA"/>
    </w:rPr>
  </w:style>
  <w:style w:type="paragraph" w:styleId="21">
    <w:name w:val="Body Text 2"/>
    <w:basedOn w:val="a"/>
    <w:link w:val="22"/>
    <w:uiPriority w:val="99"/>
    <w:rsid w:val="00165D6F"/>
    <w:pPr>
      <w:spacing w:after="120"/>
      <w:ind w:left="283"/>
    </w:pPr>
    <w:rPr>
      <w:lang w:val="uk-UA"/>
    </w:rPr>
  </w:style>
  <w:style w:type="character" w:customStyle="1" w:styleId="22">
    <w:name w:val="Основной текст 2 Знак"/>
    <w:basedOn w:val="a0"/>
    <w:link w:val="21"/>
    <w:uiPriority w:val="99"/>
    <w:locked/>
    <w:rsid w:val="00165D6F"/>
    <w:rPr>
      <w:rFonts w:ascii="Times New Roman" w:hAnsi="Times New Roman" w:cs="Times New Roman"/>
      <w:sz w:val="24"/>
      <w:szCs w:val="24"/>
      <w:lang w:val="uk-UA"/>
    </w:rPr>
  </w:style>
  <w:style w:type="paragraph" w:styleId="af">
    <w:name w:val="Plain Text"/>
    <w:aliases w:val="Знак2"/>
    <w:basedOn w:val="a"/>
    <w:link w:val="af0"/>
    <w:uiPriority w:val="99"/>
    <w:rsid w:val="00165D6F"/>
    <w:rPr>
      <w:rFonts w:ascii="Courier New" w:hAnsi="Courier New" w:cs="Courier New"/>
      <w:sz w:val="20"/>
      <w:szCs w:val="20"/>
    </w:rPr>
  </w:style>
  <w:style w:type="character" w:customStyle="1" w:styleId="af0">
    <w:name w:val="Текст Знак"/>
    <w:aliases w:val="Знак2 Знак"/>
    <w:basedOn w:val="a0"/>
    <w:link w:val="af"/>
    <w:uiPriority w:val="99"/>
    <w:locked/>
    <w:rsid w:val="00165D6F"/>
    <w:rPr>
      <w:rFonts w:ascii="Courier New" w:hAnsi="Courier New" w:cs="Courier New"/>
      <w:sz w:val="20"/>
      <w:szCs w:val="20"/>
    </w:rPr>
  </w:style>
  <w:style w:type="paragraph" w:styleId="af1">
    <w:name w:val="Body Text"/>
    <w:aliases w:val="Знак Знак Знак Знак Знак Знак,Знак Знак Знак,Основний текст Знак Знак Знак,Основний текст Знак Знак Знак Знак,Основний текст Знак Знак Знак Знак Знак Знак Знак Знак Знак Знак,Знак Знак"/>
    <w:basedOn w:val="a"/>
    <w:link w:val="af2"/>
    <w:uiPriority w:val="99"/>
    <w:rsid w:val="005E5413"/>
    <w:pPr>
      <w:spacing w:after="120"/>
    </w:pPr>
  </w:style>
  <w:style w:type="character" w:customStyle="1" w:styleId="af2">
    <w:name w:val="Основной текст Знак"/>
    <w:aliases w:val="Знак Знак Знак Знак Знак Знак Знак,Знак Знак Знак Знак,Основний текст Знак Знак Знак Знак1,Основний текст Знак Знак Знак Знак Знак,Основний текст Знак Знак Знак Знак Знак Знак Знак Знак Знак Знак Знак,Знак Знак Знак1"/>
    <w:basedOn w:val="a0"/>
    <w:link w:val="af1"/>
    <w:uiPriority w:val="99"/>
    <w:locked/>
    <w:rsid w:val="005E5413"/>
    <w:rPr>
      <w:rFonts w:ascii="Times New Roman" w:hAnsi="Times New Roman" w:cs="Times New Roman"/>
      <w:sz w:val="24"/>
      <w:szCs w:val="24"/>
    </w:rPr>
  </w:style>
  <w:style w:type="paragraph" w:styleId="af3">
    <w:name w:val="Normal (Web)"/>
    <w:basedOn w:val="a"/>
    <w:uiPriority w:val="99"/>
    <w:rsid w:val="003E77FC"/>
    <w:pPr>
      <w:spacing w:before="100" w:beforeAutospacing="1" w:after="100" w:afterAutospacing="1"/>
    </w:pPr>
    <w:rPr>
      <w:lang w:val="uk-UA" w:eastAsia="uk-UA"/>
    </w:rPr>
  </w:style>
  <w:style w:type="paragraph" w:customStyle="1" w:styleId="xfmc4">
    <w:name w:val="xfmc4"/>
    <w:basedOn w:val="a"/>
    <w:uiPriority w:val="99"/>
    <w:rsid w:val="001D7423"/>
    <w:pPr>
      <w:spacing w:before="100" w:beforeAutospacing="1" w:after="100" w:afterAutospacing="1"/>
    </w:pPr>
    <w:rPr>
      <w:lang w:val="uk-UA" w:eastAsia="uk-UA"/>
    </w:rPr>
  </w:style>
  <w:style w:type="paragraph" w:styleId="af4">
    <w:name w:val="Body Text Indent"/>
    <w:basedOn w:val="a"/>
    <w:link w:val="af5"/>
    <w:uiPriority w:val="99"/>
    <w:rsid w:val="000C075C"/>
    <w:pPr>
      <w:spacing w:after="120"/>
      <w:ind w:left="283"/>
    </w:pPr>
    <w:rPr>
      <w:lang w:val="uk-UA"/>
    </w:rPr>
  </w:style>
  <w:style w:type="character" w:customStyle="1" w:styleId="af5">
    <w:name w:val="Основной текст с отступом Знак"/>
    <w:basedOn w:val="a0"/>
    <w:link w:val="af4"/>
    <w:uiPriority w:val="99"/>
    <w:locked/>
    <w:rsid w:val="000C075C"/>
    <w:rPr>
      <w:rFonts w:ascii="Times New Roman" w:hAnsi="Times New Roman" w:cs="Times New Roman"/>
      <w:sz w:val="24"/>
      <w:szCs w:val="24"/>
      <w:lang w:val="uk-UA"/>
    </w:rPr>
  </w:style>
  <w:style w:type="paragraph" w:styleId="23">
    <w:name w:val="Body Text Indent 2"/>
    <w:basedOn w:val="a"/>
    <w:link w:val="24"/>
    <w:uiPriority w:val="99"/>
    <w:rsid w:val="000C075C"/>
    <w:pPr>
      <w:spacing w:after="120" w:line="480" w:lineRule="auto"/>
      <w:ind w:left="283"/>
    </w:pPr>
  </w:style>
  <w:style w:type="character" w:customStyle="1" w:styleId="24">
    <w:name w:val="Основной текст с отступом 2 Знак"/>
    <w:basedOn w:val="a0"/>
    <w:link w:val="23"/>
    <w:uiPriority w:val="99"/>
    <w:locked/>
    <w:rsid w:val="000C075C"/>
    <w:rPr>
      <w:rFonts w:ascii="Times New Roman" w:hAnsi="Times New Roman" w:cs="Times New Roman"/>
      <w:sz w:val="24"/>
      <w:szCs w:val="24"/>
    </w:rPr>
  </w:style>
  <w:style w:type="paragraph" w:styleId="31">
    <w:name w:val="Body Text Indent 3"/>
    <w:basedOn w:val="a"/>
    <w:link w:val="32"/>
    <w:uiPriority w:val="99"/>
    <w:rsid w:val="000C075C"/>
    <w:pPr>
      <w:spacing w:after="120"/>
      <w:ind w:left="283"/>
    </w:pPr>
    <w:rPr>
      <w:sz w:val="16"/>
      <w:szCs w:val="16"/>
      <w:lang w:val="uk-UA"/>
    </w:rPr>
  </w:style>
  <w:style w:type="character" w:customStyle="1" w:styleId="32">
    <w:name w:val="Основной текст с отступом 3 Знак"/>
    <w:basedOn w:val="a0"/>
    <w:link w:val="31"/>
    <w:uiPriority w:val="99"/>
    <w:locked/>
    <w:rsid w:val="000C075C"/>
    <w:rPr>
      <w:rFonts w:ascii="Times New Roman" w:hAnsi="Times New Roman" w:cs="Times New Roman"/>
      <w:sz w:val="16"/>
      <w:szCs w:val="16"/>
      <w:lang w:val="uk-UA"/>
    </w:rPr>
  </w:style>
  <w:style w:type="paragraph" w:customStyle="1" w:styleId="rvps6">
    <w:name w:val="rvps6"/>
    <w:basedOn w:val="a"/>
    <w:uiPriority w:val="99"/>
    <w:rsid w:val="000C075C"/>
    <w:pPr>
      <w:spacing w:before="100" w:beforeAutospacing="1" w:after="100" w:afterAutospacing="1"/>
    </w:pPr>
    <w:rPr>
      <w:color w:val="000000"/>
      <w:lang w:val="uk-UA" w:eastAsia="uk-UA"/>
    </w:rPr>
  </w:style>
  <w:style w:type="character" w:customStyle="1" w:styleId="CharStyle5">
    <w:name w:val="Char Style 5"/>
    <w:link w:val="Style4"/>
    <w:uiPriority w:val="99"/>
    <w:locked/>
    <w:rsid w:val="000C075C"/>
    <w:rPr>
      <w:shd w:val="clear" w:color="auto" w:fill="FFFFFF"/>
    </w:rPr>
  </w:style>
  <w:style w:type="paragraph" w:customStyle="1" w:styleId="Style4">
    <w:name w:val="Style 4"/>
    <w:basedOn w:val="a"/>
    <w:link w:val="CharStyle5"/>
    <w:uiPriority w:val="99"/>
    <w:rsid w:val="000C075C"/>
    <w:pPr>
      <w:shd w:val="clear" w:color="auto" w:fill="FFFFFF"/>
      <w:spacing w:before="480" w:line="346" w:lineRule="exact"/>
      <w:jc w:val="both"/>
    </w:pPr>
    <w:rPr>
      <w:rFonts w:ascii="Calibri" w:eastAsia="Calibri" w:hAnsi="Calibri"/>
      <w:sz w:val="20"/>
      <w:szCs w:val="20"/>
    </w:rPr>
  </w:style>
  <w:style w:type="paragraph" w:customStyle="1" w:styleId="StyleZakonu">
    <w:name w:val="StyleZakonu Знак"/>
    <w:basedOn w:val="a"/>
    <w:link w:val="StyleZakonu0"/>
    <w:uiPriority w:val="99"/>
    <w:rsid w:val="00F12CF2"/>
    <w:pPr>
      <w:spacing w:before="120" w:after="60" w:line="220" w:lineRule="exact"/>
      <w:ind w:firstLine="284"/>
      <w:jc w:val="both"/>
    </w:pPr>
    <w:rPr>
      <w:rFonts w:eastAsia="Calibri"/>
      <w:sz w:val="20"/>
      <w:szCs w:val="20"/>
    </w:rPr>
  </w:style>
  <w:style w:type="character" w:customStyle="1" w:styleId="StyleZakonu0">
    <w:name w:val="StyleZakonu Знак Знак"/>
    <w:link w:val="StyleZakonu"/>
    <w:uiPriority w:val="99"/>
    <w:locked/>
    <w:rsid w:val="00F12CF2"/>
    <w:rPr>
      <w:rFonts w:ascii="Times New Roman" w:hAnsi="Times New Roman"/>
      <w:sz w:val="20"/>
    </w:rPr>
  </w:style>
  <w:style w:type="character" w:customStyle="1" w:styleId="rvts0">
    <w:name w:val="rvts0"/>
    <w:uiPriority w:val="99"/>
    <w:rsid w:val="00F12CF2"/>
  </w:style>
  <w:style w:type="paragraph" w:customStyle="1" w:styleId="1">
    <w:name w:val="Абзац списку1"/>
    <w:basedOn w:val="a"/>
    <w:uiPriority w:val="99"/>
    <w:rsid w:val="00F12CF2"/>
    <w:pPr>
      <w:ind w:left="720"/>
    </w:pPr>
    <w:rPr>
      <w:rFonts w:eastAsia="Calibri"/>
    </w:rPr>
  </w:style>
  <w:style w:type="paragraph" w:customStyle="1" w:styleId="af6">
    <w:name w:val="Бланк"/>
    <w:basedOn w:val="a"/>
    <w:uiPriority w:val="99"/>
    <w:rsid w:val="008D23D8"/>
    <w:pPr>
      <w:spacing w:after="120"/>
      <w:ind w:firstLine="709"/>
      <w:jc w:val="both"/>
    </w:pPr>
    <w:rPr>
      <w:rFonts w:eastAsia="Calibri"/>
      <w:sz w:val="26"/>
      <w:szCs w:val="26"/>
      <w:lang w:val="uk-UA" w:eastAsia="uk-UA"/>
    </w:rPr>
  </w:style>
  <w:style w:type="character" w:styleId="af7">
    <w:name w:val="Strong"/>
    <w:basedOn w:val="a0"/>
    <w:uiPriority w:val="99"/>
    <w:qFormat/>
    <w:rsid w:val="00530C60"/>
    <w:rPr>
      <w:rFonts w:ascii="Times New Roman" w:hAnsi="Times New Roman" w:cs="Times New Roman"/>
      <w:b/>
      <w:bCs/>
    </w:rPr>
  </w:style>
  <w:style w:type="paragraph" w:styleId="af8">
    <w:name w:val="No Spacing"/>
    <w:basedOn w:val="a"/>
    <w:uiPriority w:val="99"/>
    <w:qFormat/>
    <w:rsid w:val="00530C60"/>
    <w:rPr>
      <w:rFonts w:ascii="Calibri" w:eastAsia="Calibri" w:hAnsi="Calibri" w:cs="Calibri"/>
      <w:sz w:val="22"/>
      <w:szCs w:val="22"/>
      <w:lang w:val="uk-UA" w:eastAsia="en-US"/>
    </w:rPr>
  </w:style>
  <w:style w:type="character" w:customStyle="1" w:styleId="rvts11">
    <w:name w:val="rvts11"/>
    <w:basedOn w:val="a0"/>
    <w:rsid w:val="0031262A"/>
  </w:style>
  <w:style w:type="character" w:styleId="af9">
    <w:name w:val="Emphasis"/>
    <w:basedOn w:val="a0"/>
    <w:uiPriority w:val="20"/>
    <w:qFormat/>
    <w:locked/>
    <w:rsid w:val="0031262A"/>
    <w:rPr>
      <w:i/>
      <w:iCs/>
    </w:rPr>
  </w:style>
  <w:style w:type="paragraph" w:customStyle="1" w:styleId="14">
    <w:name w:val="Обычный + 14 пт"/>
    <w:basedOn w:val="a"/>
    <w:rsid w:val="00196B2D"/>
    <w:pPr>
      <w:tabs>
        <w:tab w:val="left" w:pos="354"/>
      </w:tabs>
      <w:ind w:firstLine="720"/>
      <w:jc w:val="both"/>
    </w:pPr>
    <w:rPr>
      <w:sz w:val="28"/>
      <w:szCs w:val="28"/>
      <w:lang w:val="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1443635">
      <w:bodyDiv w:val="1"/>
      <w:marLeft w:val="0"/>
      <w:marRight w:val="0"/>
      <w:marTop w:val="0"/>
      <w:marBottom w:val="0"/>
      <w:divBdr>
        <w:top w:val="none" w:sz="0" w:space="0" w:color="auto"/>
        <w:left w:val="none" w:sz="0" w:space="0" w:color="auto"/>
        <w:bottom w:val="none" w:sz="0" w:space="0" w:color="auto"/>
        <w:right w:val="none" w:sz="0" w:space="0" w:color="auto"/>
      </w:divBdr>
    </w:div>
    <w:div w:id="65614003">
      <w:marLeft w:val="0"/>
      <w:marRight w:val="0"/>
      <w:marTop w:val="0"/>
      <w:marBottom w:val="0"/>
      <w:divBdr>
        <w:top w:val="none" w:sz="0" w:space="0" w:color="auto"/>
        <w:left w:val="none" w:sz="0" w:space="0" w:color="auto"/>
        <w:bottom w:val="none" w:sz="0" w:space="0" w:color="auto"/>
        <w:right w:val="none" w:sz="0" w:space="0" w:color="auto"/>
      </w:divBdr>
    </w:div>
    <w:div w:id="65614004">
      <w:marLeft w:val="0"/>
      <w:marRight w:val="0"/>
      <w:marTop w:val="0"/>
      <w:marBottom w:val="0"/>
      <w:divBdr>
        <w:top w:val="none" w:sz="0" w:space="0" w:color="auto"/>
        <w:left w:val="none" w:sz="0" w:space="0" w:color="auto"/>
        <w:bottom w:val="none" w:sz="0" w:space="0" w:color="auto"/>
        <w:right w:val="none" w:sz="0" w:space="0" w:color="auto"/>
      </w:divBdr>
    </w:div>
    <w:div w:id="65614005">
      <w:marLeft w:val="0"/>
      <w:marRight w:val="0"/>
      <w:marTop w:val="0"/>
      <w:marBottom w:val="0"/>
      <w:divBdr>
        <w:top w:val="none" w:sz="0" w:space="0" w:color="auto"/>
        <w:left w:val="none" w:sz="0" w:space="0" w:color="auto"/>
        <w:bottom w:val="none" w:sz="0" w:space="0" w:color="auto"/>
        <w:right w:val="none" w:sz="0" w:space="0" w:color="auto"/>
      </w:divBdr>
    </w:div>
    <w:div w:id="65614006">
      <w:marLeft w:val="0"/>
      <w:marRight w:val="0"/>
      <w:marTop w:val="0"/>
      <w:marBottom w:val="0"/>
      <w:divBdr>
        <w:top w:val="none" w:sz="0" w:space="0" w:color="auto"/>
        <w:left w:val="none" w:sz="0" w:space="0" w:color="auto"/>
        <w:bottom w:val="none" w:sz="0" w:space="0" w:color="auto"/>
        <w:right w:val="none" w:sz="0" w:space="0" w:color="auto"/>
      </w:divBdr>
    </w:div>
    <w:div w:id="65614007">
      <w:marLeft w:val="0"/>
      <w:marRight w:val="0"/>
      <w:marTop w:val="0"/>
      <w:marBottom w:val="0"/>
      <w:divBdr>
        <w:top w:val="none" w:sz="0" w:space="0" w:color="auto"/>
        <w:left w:val="none" w:sz="0" w:space="0" w:color="auto"/>
        <w:bottom w:val="none" w:sz="0" w:space="0" w:color="auto"/>
        <w:right w:val="none" w:sz="0" w:space="0" w:color="auto"/>
      </w:divBdr>
    </w:div>
    <w:div w:id="65614008">
      <w:marLeft w:val="0"/>
      <w:marRight w:val="0"/>
      <w:marTop w:val="0"/>
      <w:marBottom w:val="0"/>
      <w:divBdr>
        <w:top w:val="none" w:sz="0" w:space="0" w:color="auto"/>
        <w:left w:val="none" w:sz="0" w:space="0" w:color="auto"/>
        <w:bottom w:val="none" w:sz="0" w:space="0" w:color="auto"/>
        <w:right w:val="none" w:sz="0" w:space="0" w:color="auto"/>
      </w:divBdr>
    </w:div>
    <w:div w:id="65614009">
      <w:marLeft w:val="0"/>
      <w:marRight w:val="0"/>
      <w:marTop w:val="0"/>
      <w:marBottom w:val="0"/>
      <w:divBdr>
        <w:top w:val="none" w:sz="0" w:space="0" w:color="auto"/>
        <w:left w:val="none" w:sz="0" w:space="0" w:color="auto"/>
        <w:bottom w:val="none" w:sz="0" w:space="0" w:color="auto"/>
        <w:right w:val="none" w:sz="0" w:space="0" w:color="auto"/>
      </w:divBdr>
    </w:div>
    <w:div w:id="65614010">
      <w:marLeft w:val="0"/>
      <w:marRight w:val="0"/>
      <w:marTop w:val="0"/>
      <w:marBottom w:val="0"/>
      <w:divBdr>
        <w:top w:val="none" w:sz="0" w:space="0" w:color="auto"/>
        <w:left w:val="none" w:sz="0" w:space="0" w:color="auto"/>
        <w:bottom w:val="none" w:sz="0" w:space="0" w:color="auto"/>
        <w:right w:val="none" w:sz="0" w:space="0" w:color="auto"/>
      </w:divBdr>
    </w:div>
    <w:div w:id="65614011">
      <w:marLeft w:val="0"/>
      <w:marRight w:val="0"/>
      <w:marTop w:val="0"/>
      <w:marBottom w:val="0"/>
      <w:divBdr>
        <w:top w:val="none" w:sz="0" w:space="0" w:color="auto"/>
        <w:left w:val="none" w:sz="0" w:space="0" w:color="auto"/>
        <w:bottom w:val="none" w:sz="0" w:space="0" w:color="auto"/>
        <w:right w:val="none" w:sz="0" w:space="0" w:color="auto"/>
      </w:divBdr>
    </w:div>
    <w:div w:id="65614012">
      <w:marLeft w:val="0"/>
      <w:marRight w:val="0"/>
      <w:marTop w:val="0"/>
      <w:marBottom w:val="0"/>
      <w:divBdr>
        <w:top w:val="none" w:sz="0" w:space="0" w:color="auto"/>
        <w:left w:val="none" w:sz="0" w:space="0" w:color="auto"/>
        <w:bottom w:val="none" w:sz="0" w:space="0" w:color="auto"/>
        <w:right w:val="none" w:sz="0" w:space="0" w:color="auto"/>
      </w:divBdr>
    </w:div>
    <w:div w:id="65614013">
      <w:marLeft w:val="0"/>
      <w:marRight w:val="0"/>
      <w:marTop w:val="0"/>
      <w:marBottom w:val="0"/>
      <w:divBdr>
        <w:top w:val="none" w:sz="0" w:space="0" w:color="auto"/>
        <w:left w:val="none" w:sz="0" w:space="0" w:color="auto"/>
        <w:bottom w:val="none" w:sz="0" w:space="0" w:color="auto"/>
        <w:right w:val="none" w:sz="0" w:space="0" w:color="auto"/>
      </w:divBdr>
    </w:div>
    <w:div w:id="65614014">
      <w:marLeft w:val="0"/>
      <w:marRight w:val="0"/>
      <w:marTop w:val="0"/>
      <w:marBottom w:val="0"/>
      <w:divBdr>
        <w:top w:val="none" w:sz="0" w:space="0" w:color="auto"/>
        <w:left w:val="none" w:sz="0" w:space="0" w:color="auto"/>
        <w:bottom w:val="none" w:sz="0" w:space="0" w:color="auto"/>
        <w:right w:val="none" w:sz="0" w:space="0" w:color="auto"/>
      </w:divBdr>
    </w:div>
    <w:div w:id="65614015">
      <w:marLeft w:val="0"/>
      <w:marRight w:val="0"/>
      <w:marTop w:val="0"/>
      <w:marBottom w:val="0"/>
      <w:divBdr>
        <w:top w:val="none" w:sz="0" w:space="0" w:color="auto"/>
        <w:left w:val="none" w:sz="0" w:space="0" w:color="auto"/>
        <w:bottom w:val="none" w:sz="0" w:space="0" w:color="auto"/>
        <w:right w:val="none" w:sz="0" w:space="0" w:color="auto"/>
      </w:divBdr>
    </w:div>
    <w:div w:id="65614016">
      <w:marLeft w:val="0"/>
      <w:marRight w:val="0"/>
      <w:marTop w:val="0"/>
      <w:marBottom w:val="0"/>
      <w:divBdr>
        <w:top w:val="none" w:sz="0" w:space="0" w:color="auto"/>
        <w:left w:val="none" w:sz="0" w:space="0" w:color="auto"/>
        <w:bottom w:val="none" w:sz="0" w:space="0" w:color="auto"/>
        <w:right w:val="none" w:sz="0" w:space="0" w:color="auto"/>
      </w:divBdr>
    </w:div>
    <w:div w:id="65614017">
      <w:marLeft w:val="0"/>
      <w:marRight w:val="0"/>
      <w:marTop w:val="0"/>
      <w:marBottom w:val="0"/>
      <w:divBdr>
        <w:top w:val="none" w:sz="0" w:space="0" w:color="auto"/>
        <w:left w:val="none" w:sz="0" w:space="0" w:color="auto"/>
        <w:bottom w:val="none" w:sz="0" w:space="0" w:color="auto"/>
        <w:right w:val="none" w:sz="0" w:space="0" w:color="auto"/>
      </w:divBdr>
    </w:div>
    <w:div w:id="65614018">
      <w:marLeft w:val="0"/>
      <w:marRight w:val="0"/>
      <w:marTop w:val="0"/>
      <w:marBottom w:val="0"/>
      <w:divBdr>
        <w:top w:val="none" w:sz="0" w:space="0" w:color="auto"/>
        <w:left w:val="none" w:sz="0" w:space="0" w:color="auto"/>
        <w:bottom w:val="none" w:sz="0" w:space="0" w:color="auto"/>
        <w:right w:val="none" w:sz="0" w:space="0" w:color="auto"/>
      </w:divBdr>
    </w:div>
    <w:div w:id="65614019">
      <w:marLeft w:val="0"/>
      <w:marRight w:val="0"/>
      <w:marTop w:val="0"/>
      <w:marBottom w:val="0"/>
      <w:divBdr>
        <w:top w:val="none" w:sz="0" w:space="0" w:color="auto"/>
        <w:left w:val="none" w:sz="0" w:space="0" w:color="auto"/>
        <w:bottom w:val="none" w:sz="0" w:space="0" w:color="auto"/>
        <w:right w:val="none" w:sz="0" w:space="0" w:color="auto"/>
      </w:divBdr>
    </w:div>
    <w:div w:id="65614020">
      <w:marLeft w:val="0"/>
      <w:marRight w:val="0"/>
      <w:marTop w:val="0"/>
      <w:marBottom w:val="0"/>
      <w:divBdr>
        <w:top w:val="none" w:sz="0" w:space="0" w:color="auto"/>
        <w:left w:val="none" w:sz="0" w:space="0" w:color="auto"/>
        <w:bottom w:val="none" w:sz="0" w:space="0" w:color="auto"/>
        <w:right w:val="none" w:sz="0" w:space="0" w:color="auto"/>
      </w:divBdr>
    </w:div>
    <w:div w:id="65614021">
      <w:marLeft w:val="0"/>
      <w:marRight w:val="0"/>
      <w:marTop w:val="0"/>
      <w:marBottom w:val="0"/>
      <w:divBdr>
        <w:top w:val="none" w:sz="0" w:space="0" w:color="auto"/>
        <w:left w:val="none" w:sz="0" w:space="0" w:color="auto"/>
        <w:bottom w:val="none" w:sz="0" w:space="0" w:color="auto"/>
        <w:right w:val="none" w:sz="0" w:space="0" w:color="auto"/>
      </w:divBdr>
    </w:div>
    <w:div w:id="65614022">
      <w:marLeft w:val="0"/>
      <w:marRight w:val="0"/>
      <w:marTop w:val="0"/>
      <w:marBottom w:val="0"/>
      <w:divBdr>
        <w:top w:val="none" w:sz="0" w:space="0" w:color="auto"/>
        <w:left w:val="none" w:sz="0" w:space="0" w:color="auto"/>
        <w:bottom w:val="none" w:sz="0" w:space="0" w:color="auto"/>
        <w:right w:val="none" w:sz="0" w:space="0" w:color="auto"/>
      </w:divBdr>
    </w:div>
    <w:div w:id="65614023">
      <w:marLeft w:val="0"/>
      <w:marRight w:val="0"/>
      <w:marTop w:val="0"/>
      <w:marBottom w:val="0"/>
      <w:divBdr>
        <w:top w:val="none" w:sz="0" w:space="0" w:color="auto"/>
        <w:left w:val="none" w:sz="0" w:space="0" w:color="auto"/>
        <w:bottom w:val="none" w:sz="0" w:space="0" w:color="auto"/>
        <w:right w:val="none" w:sz="0" w:space="0" w:color="auto"/>
      </w:divBdr>
    </w:div>
    <w:div w:id="65614024">
      <w:marLeft w:val="0"/>
      <w:marRight w:val="0"/>
      <w:marTop w:val="0"/>
      <w:marBottom w:val="0"/>
      <w:divBdr>
        <w:top w:val="none" w:sz="0" w:space="0" w:color="auto"/>
        <w:left w:val="none" w:sz="0" w:space="0" w:color="auto"/>
        <w:bottom w:val="none" w:sz="0" w:space="0" w:color="auto"/>
        <w:right w:val="none" w:sz="0" w:space="0" w:color="auto"/>
      </w:divBdr>
    </w:div>
    <w:div w:id="65614025">
      <w:marLeft w:val="0"/>
      <w:marRight w:val="0"/>
      <w:marTop w:val="0"/>
      <w:marBottom w:val="0"/>
      <w:divBdr>
        <w:top w:val="none" w:sz="0" w:space="0" w:color="auto"/>
        <w:left w:val="none" w:sz="0" w:space="0" w:color="auto"/>
        <w:bottom w:val="none" w:sz="0" w:space="0" w:color="auto"/>
        <w:right w:val="none" w:sz="0" w:space="0" w:color="auto"/>
      </w:divBdr>
    </w:div>
    <w:div w:id="65614026">
      <w:marLeft w:val="0"/>
      <w:marRight w:val="0"/>
      <w:marTop w:val="0"/>
      <w:marBottom w:val="0"/>
      <w:divBdr>
        <w:top w:val="none" w:sz="0" w:space="0" w:color="auto"/>
        <w:left w:val="none" w:sz="0" w:space="0" w:color="auto"/>
        <w:bottom w:val="none" w:sz="0" w:space="0" w:color="auto"/>
        <w:right w:val="none" w:sz="0" w:space="0" w:color="auto"/>
      </w:divBdr>
    </w:div>
    <w:div w:id="170919415">
      <w:bodyDiv w:val="1"/>
      <w:marLeft w:val="0"/>
      <w:marRight w:val="0"/>
      <w:marTop w:val="0"/>
      <w:marBottom w:val="0"/>
      <w:divBdr>
        <w:top w:val="none" w:sz="0" w:space="0" w:color="auto"/>
        <w:left w:val="none" w:sz="0" w:space="0" w:color="auto"/>
        <w:bottom w:val="none" w:sz="0" w:space="0" w:color="auto"/>
        <w:right w:val="none" w:sz="0" w:space="0" w:color="auto"/>
      </w:divBdr>
    </w:div>
    <w:div w:id="275530246">
      <w:bodyDiv w:val="1"/>
      <w:marLeft w:val="0"/>
      <w:marRight w:val="0"/>
      <w:marTop w:val="0"/>
      <w:marBottom w:val="0"/>
      <w:divBdr>
        <w:top w:val="none" w:sz="0" w:space="0" w:color="auto"/>
        <w:left w:val="none" w:sz="0" w:space="0" w:color="auto"/>
        <w:bottom w:val="none" w:sz="0" w:space="0" w:color="auto"/>
        <w:right w:val="none" w:sz="0" w:space="0" w:color="auto"/>
      </w:divBdr>
    </w:div>
    <w:div w:id="952323724">
      <w:bodyDiv w:val="1"/>
      <w:marLeft w:val="0"/>
      <w:marRight w:val="0"/>
      <w:marTop w:val="0"/>
      <w:marBottom w:val="0"/>
      <w:divBdr>
        <w:top w:val="none" w:sz="0" w:space="0" w:color="auto"/>
        <w:left w:val="none" w:sz="0" w:space="0" w:color="auto"/>
        <w:bottom w:val="none" w:sz="0" w:space="0" w:color="auto"/>
        <w:right w:val="none" w:sz="0" w:space="0" w:color="auto"/>
      </w:divBdr>
    </w:div>
    <w:div w:id="1354070796">
      <w:bodyDiv w:val="1"/>
      <w:marLeft w:val="0"/>
      <w:marRight w:val="0"/>
      <w:marTop w:val="0"/>
      <w:marBottom w:val="0"/>
      <w:divBdr>
        <w:top w:val="none" w:sz="0" w:space="0" w:color="auto"/>
        <w:left w:val="none" w:sz="0" w:space="0" w:color="auto"/>
        <w:bottom w:val="none" w:sz="0" w:space="0" w:color="auto"/>
        <w:right w:val="none" w:sz="0" w:space="0" w:color="auto"/>
      </w:divBdr>
    </w:div>
    <w:div w:id="1468013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chart" Target="charts/chart1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chart" Target="charts/chart10.xml"/><Relationship Id="rId2" Type="http://schemas.openxmlformats.org/officeDocument/2006/relationships/numbering" Target="numbering.xml"/><Relationship Id="rId16" Type="http://schemas.openxmlformats.org/officeDocument/2006/relationships/chart" Target="charts/chart9.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chart" Target="charts/chart8.xml"/><Relationship Id="rId10" Type="http://schemas.openxmlformats.org/officeDocument/2006/relationships/chart" Target="charts/chart3.xm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microsoft.com/office/2007/relationships/stylesWithEffects" Target="stylesWithEffects.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Office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Office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Office_Excel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_____Microsoft_Office_Excel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_____Microsoft_Office_Excel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_____Microsoft_Office_Excel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_____Microsoft_Office_Excel8.xlsx"/></Relationships>
</file>

<file path=word/charts/_rels/chart9.xml.rels><?xml version="1.0" encoding="UTF-8" standalone="yes"?>
<Relationships xmlns="http://schemas.openxmlformats.org/package/2006/relationships"><Relationship Id="rId1" Type="http://schemas.openxmlformats.org/officeDocument/2006/relationships/package" Target="../embeddings/_____Microsoft_Office_Excel9.xlsx"/></Relationships>
</file>

<file path=word/charts/_rels/chart10.xml.rels><?xml version="1.0" encoding="UTF-8" standalone="yes"?>
<Relationships xmlns="http://schemas.openxmlformats.org/package/2006/relationships"><Relationship Id="rId2" Type="http://schemas.openxmlformats.org/officeDocument/2006/relationships/oleObject" Target="file:///\\Serv\&#1054;&#1073;&#1084;&#1077;&#1085;\&#1043;&#1086;&#1088;&#1087;&#1080;&#1085;&#1110;&#1095;\&#1055;&#1056;&#1054;&#1028;&#1050;&#1058;%20&#1041;&#1070;&#1044;&#1046;&#1045;&#1058;&#1059;%202021\&#1044;&#1080;&#1072;&#1075;&#1088;&#1072;&#1084;&#1084;&#1072;%20&#1074;%20Microsoft%20Office%20Word\&#1044;&#1080;&#1072;&#1075;&#1088;&#1072;&#1084;&#1084;&#1072;%20&#1074;%20Microsoft%20Office%20Word.xlsx" TargetMode="External"/><Relationship Id="rId1" Type="http://schemas.openxmlformats.org/officeDocument/2006/relationships/themeOverride" Target="../theme/themeOverride1.xml"/></Relationships>
</file>

<file path=word/charts/_rels/chart11.xml.rels><?xml version="1.0" encoding="UTF-8" standalone="yes"?>
<Relationships xmlns="http://schemas.openxmlformats.org/package/2006/relationships"><Relationship Id="rId2" Type="http://schemas.openxmlformats.org/officeDocument/2006/relationships/package" Target="../embeddings/_____Microsoft_Office_Excel10.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hPercent val="37"/>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1.4354066985645909E-2"/>
          <c:y val="3.0000000000000027E-2"/>
          <c:w val="0.9696969696969695"/>
          <c:h val="0.67333333333333456"/>
        </c:manualLayout>
      </c:layout>
      <c:bar3DChart>
        <c:barDir val="col"/>
        <c:grouping val="clustered"/>
        <c:ser>
          <c:idx val="0"/>
          <c:order val="0"/>
          <c:tx>
            <c:strRef>
              <c:f>Sheet1!$A$2</c:f>
              <c:strCache>
                <c:ptCount val="1"/>
                <c:pt idx="0">
                  <c:v>2017 факт</c:v>
                </c:pt>
              </c:strCache>
            </c:strRef>
          </c:tx>
          <c:spPr>
            <a:solidFill>
              <a:srgbClr val="9999FF"/>
            </a:solidFill>
            <a:ln w="12707">
              <a:solidFill>
                <a:srgbClr val="000000"/>
              </a:solidFill>
              <a:prstDash val="solid"/>
            </a:ln>
          </c:spPr>
          <c:dLbls>
            <c:dLbl>
              <c:idx val="0"/>
              <c:layout>
                <c:manualLayout>
                  <c:x val="-2.5874238247691611E-3"/>
                  <c:y val="0.19167262105780775"/>
                </c:manualLayout>
              </c:layout>
              <c:showVal val="1"/>
              <c:extLst>
                <c:ext xmlns:c15="http://schemas.microsoft.com/office/drawing/2012/chart" uri="{CE6537A1-D6FC-4f65-9D91-7224C49458BB}">
                  <c15:layout/>
                </c:ext>
              </c:extLst>
            </c:dLbl>
            <c:dLbl>
              <c:idx val="1"/>
              <c:layout>
                <c:manualLayout>
                  <c:x val="-5.2821774426324844E-3"/>
                  <c:y val="0.19143816760007579"/>
                </c:manualLayout>
              </c:layout>
              <c:showVal val="1"/>
              <c:extLst>
                <c:ext xmlns:c15="http://schemas.microsoft.com/office/drawing/2012/chart" uri="{CE6537A1-D6FC-4f65-9D91-7224C49458BB}">
                  <c15:layout/>
                </c:ext>
              </c:extLst>
            </c:dLbl>
            <c:dLbl>
              <c:idx val="2"/>
              <c:layout>
                <c:manualLayout>
                  <c:x val="-2.8584822957041759E-3"/>
                  <c:y val="1.5349811407672767E-2"/>
                </c:manualLayout>
              </c:layout>
              <c:showVal val="1"/>
              <c:extLst>
                <c:ext xmlns:c15="http://schemas.microsoft.com/office/drawing/2012/chart" uri="{CE6537A1-D6FC-4f65-9D91-7224C49458BB}">
                  <c15:layout/>
                </c:ext>
              </c:extLst>
            </c:dLbl>
            <c:spPr>
              <a:noFill/>
              <a:ln w="25414">
                <a:noFill/>
              </a:ln>
            </c:spPr>
            <c:txPr>
              <a:bodyPr rot="-5400000" vert="horz"/>
              <a:lstStyle/>
              <a:p>
                <a:pPr algn="l" rtl="1">
                  <a:defRPr sz="1001" b="1" i="0" u="none" strike="noStrike" baseline="0">
                    <a:solidFill>
                      <a:srgbClr val="000000"/>
                    </a:solidFill>
                    <a:latin typeface="Arial Cyr"/>
                    <a:ea typeface="Arial Cyr"/>
                    <a:cs typeface="Arial Cyr"/>
                  </a:defRPr>
                </a:pPr>
                <a:endParaRPr lang="ru-RU"/>
              </a:p>
            </c:txPr>
            <c:showVal val="1"/>
            <c:extLst>
              <c:ext xmlns:c15="http://schemas.microsoft.com/office/drawing/2012/chart" uri="{CE6537A1-D6FC-4f65-9D91-7224C49458BB}">
                <c15:showLeaderLines val="0"/>
              </c:ext>
            </c:extLst>
          </c:dLbls>
          <c:cat>
            <c:strRef>
              <c:f>Sheet1!$B$1:$E$1</c:f>
              <c:strCache>
                <c:ptCount val="3"/>
                <c:pt idx="0">
                  <c:v>Всього</c:v>
                </c:pt>
                <c:pt idx="1">
                  <c:v>Загальний фонд</c:v>
                </c:pt>
                <c:pt idx="2">
                  <c:v>Спеціальний фонд</c:v>
                </c:pt>
              </c:strCache>
            </c:strRef>
          </c:cat>
          <c:val>
            <c:numRef>
              <c:f>Sheet1!$B$2:$E$2</c:f>
              <c:numCache>
                <c:formatCode>General</c:formatCode>
                <c:ptCount val="4"/>
                <c:pt idx="0">
                  <c:v>71242.5</c:v>
                </c:pt>
                <c:pt idx="1">
                  <c:v>63014.8</c:v>
                </c:pt>
                <c:pt idx="2">
                  <c:v>8227.7000000000007</c:v>
                </c:pt>
              </c:numCache>
            </c:numRef>
          </c:val>
        </c:ser>
        <c:ser>
          <c:idx val="1"/>
          <c:order val="1"/>
          <c:tx>
            <c:strRef>
              <c:f>Sheet1!$A$3</c:f>
              <c:strCache>
                <c:ptCount val="1"/>
                <c:pt idx="0">
                  <c:v>2018 факт</c:v>
                </c:pt>
              </c:strCache>
            </c:strRef>
          </c:tx>
          <c:spPr>
            <a:solidFill>
              <a:srgbClr val="993366"/>
            </a:solidFill>
            <a:ln w="12707">
              <a:solidFill>
                <a:srgbClr val="000000"/>
              </a:solidFill>
              <a:prstDash val="solid"/>
            </a:ln>
          </c:spPr>
          <c:dLbls>
            <c:dLbl>
              <c:idx val="0"/>
              <c:layout>
                <c:manualLayout>
                  <c:x val="1.8726372835118331E-3"/>
                  <c:y val="0.19506478059394539"/>
                </c:manualLayout>
              </c:layout>
              <c:showVal val="1"/>
              <c:extLst>
                <c:ext xmlns:c15="http://schemas.microsoft.com/office/drawing/2012/chart" uri="{CE6537A1-D6FC-4f65-9D91-7224C49458BB}">
                  <c15:layout/>
                </c:ext>
              </c:extLst>
            </c:dLbl>
            <c:dLbl>
              <c:idx val="1"/>
              <c:layout>
                <c:manualLayout>
                  <c:x val="-1.3745516611937683E-3"/>
                  <c:y val="0.19889650802744424"/>
                </c:manualLayout>
              </c:layout>
              <c:showVal val="1"/>
              <c:extLst>
                <c:ext xmlns:c15="http://schemas.microsoft.com/office/drawing/2012/chart" uri="{CE6537A1-D6FC-4f65-9D91-7224C49458BB}">
                  <c15:layout/>
                </c:ext>
              </c:extLst>
            </c:dLbl>
            <c:dLbl>
              <c:idx val="2"/>
              <c:layout>
                <c:manualLayout>
                  <c:x val="3.7424754081544186E-3"/>
                  <c:y val="-7.7457377693698117E-3"/>
                </c:manualLayout>
              </c:layout>
              <c:showVal val="1"/>
              <c:extLst>
                <c:ext xmlns:c15="http://schemas.microsoft.com/office/drawing/2012/chart" uri="{CE6537A1-D6FC-4f65-9D91-7224C49458BB}">
                  <c15:layout/>
                </c:ext>
              </c:extLst>
            </c:dLbl>
            <c:spPr>
              <a:noFill/>
              <a:ln w="25414">
                <a:noFill/>
              </a:ln>
            </c:spPr>
            <c:txPr>
              <a:bodyPr rot="-5400000" vert="horz"/>
              <a:lstStyle/>
              <a:p>
                <a:pPr algn="ctr">
                  <a:defRPr sz="1001" b="1" i="0" u="none" strike="noStrike" baseline="0">
                    <a:solidFill>
                      <a:srgbClr val="000000"/>
                    </a:solidFill>
                    <a:latin typeface="Arial Cyr"/>
                    <a:ea typeface="Arial Cyr"/>
                    <a:cs typeface="Arial Cyr"/>
                  </a:defRPr>
                </a:pPr>
                <a:endParaRPr lang="ru-RU"/>
              </a:p>
            </c:txPr>
            <c:showVal val="1"/>
            <c:extLst>
              <c:ext xmlns:c15="http://schemas.microsoft.com/office/drawing/2012/chart" uri="{CE6537A1-D6FC-4f65-9D91-7224C49458BB}">
                <c15:showLeaderLines val="0"/>
              </c:ext>
            </c:extLst>
          </c:dLbls>
          <c:cat>
            <c:strRef>
              <c:f>Sheet1!$B$1:$E$1</c:f>
              <c:strCache>
                <c:ptCount val="3"/>
                <c:pt idx="0">
                  <c:v>Всього</c:v>
                </c:pt>
                <c:pt idx="1">
                  <c:v>Загальний фонд</c:v>
                </c:pt>
                <c:pt idx="2">
                  <c:v>Спеціальний фонд</c:v>
                </c:pt>
              </c:strCache>
            </c:strRef>
          </c:cat>
          <c:val>
            <c:numRef>
              <c:f>Sheet1!$B$3:$E$3</c:f>
              <c:numCache>
                <c:formatCode>General</c:formatCode>
                <c:ptCount val="4"/>
                <c:pt idx="0">
                  <c:v>85420.800000000003</c:v>
                </c:pt>
                <c:pt idx="1">
                  <c:v>78175.3</c:v>
                </c:pt>
                <c:pt idx="2">
                  <c:v>7245.5</c:v>
                </c:pt>
              </c:numCache>
            </c:numRef>
          </c:val>
        </c:ser>
        <c:ser>
          <c:idx val="2"/>
          <c:order val="2"/>
          <c:tx>
            <c:strRef>
              <c:f>Sheet1!$A$4</c:f>
              <c:strCache>
                <c:ptCount val="1"/>
                <c:pt idx="0">
                  <c:v>2019 факт</c:v>
                </c:pt>
              </c:strCache>
            </c:strRef>
          </c:tx>
          <c:spPr>
            <a:solidFill>
              <a:srgbClr val="FFFFCC"/>
            </a:solidFill>
            <a:ln w="12707">
              <a:solidFill>
                <a:srgbClr val="000000"/>
              </a:solidFill>
              <a:prstDash val="solid"/>
            </a:ln>
          </c:spPr>
          <c:dLbls>
            <c:dLbl>
              <c:idx val="0"/>
              <c:layout>
                <c:manualLayout>
                  <c:x val="-9.8942033206915643E-4"/>
                  <c:y val="0.20051584503118006"/>
                </c:manualLayout>
              </c:layout>
              <c:showVal val="1"/>
              <c:extLst>
                <c:ext xmlns:c15="http://schemas.microsoft.com/office/drawing/2012/chart" uri="{CE6537A1-D6FC-4f65-9D91-7224C49458BB}">
                  <c15:layout/>
                </c:ext>
              </c:extLst>
            </c:dLbl>
            <c:dLbl>
              <c:idx val="1"/>
              <c:layout>
                <c:manualLayout>
                  <c:x val="-5.4336613343788257E-5"/>
                  <c:y val="0.17468636460858217"/>
                </c:manualLayout>
              </c:layout>
              <c:showVal val="1"/>
              <c:extLst>
                <c:ext xmlns:c15="http://schemas.microsoft.com/office/drawing/2012/chart" uri="{CE6537A1-D6FC-4f65-9D91-7224C49458BB}">
                  <c15:layout/>
                </c:ext>
              </c:extLst>
            </c:dLbl>
            <c:dLbl>
              <c:idx val="2"/>
              <c:layout>
                <c:manualLayout>
                  <c:x val="8.74885337396622E-3"/>
                  <c:y val="1.9152709004500235E-3"/>
                </c:manualLayout>
              </c:layout>
              <c:showVal val="1"/>
              <c:extLst>
                <c:ext xmlns:c15="http://schemas.microsoft.com/office/drawing/2012/chart" uri="{CE6537A1-D6FC-4f65-9D91-7224C49458BB}">
                  <c15:layout/>
                </c:ext>
              </c:extLst>
            </c:dLbl>
            <c:spPr>
              <a:noFill/>
              <a:ln w="25414">
                <a:noFill/>
              </a:ln>
            </c:spPr>
            <c:txPr>
              <a:bodyPr rot="-5400000" vert="horz"/>
              <a:lstStyle/>
              <a:p>
                <a:pPr algn="ctr">
                  <a:defRPr sz="1001" b="1" i="0" u="none" strike="noStrike" baseline="0">
                    <a:solidFill>
                      <a:srgbClr val="000000"/>
                    </a:solidFill>
                    <a:latin typeface="Arial Cyr"/>
                    <a:ea typeface="Arial Cyr"/>
                    <a:cs typeface="Arial Cyr"/>
                  </a:defRPr>
                </a:pPr>
                <a:endParaRPr lang="ru-RU"/>
              </a:p>
            </c:txPr>
            <c:showVal val="1"/>
            <c:extLst>
              <c:ext xmlns:c15="http://schemas.microsoft.com/office/drawing/2012/chart" uri="{CE6537A1-D6FC-4f65-9D91-7224C49458BB}">
                <c15:showLeaderLines val="0"/>
              </c:ext>
            </c:extLst>
          </c:dLbls>
          <c:cat>
            <c:strRef>
              <c:f>Sheet1!$B$1:$E$1</c:f>
              <c:strCache>
                <c:ptCount val="3"/>
                <c:pt idx="0">
                  <c:v>Всього</c:v>
                </c:pt>
                <c:pt idx="1">
                  <c:v>Загальний фонд</c:v>
                </c:pt>
                <c:pt idx="2">
                  <c:v>Спеціальний фонд</c:v>
                </c:pt>
              </c:strCache>
            </c:strRef>
          </c:cat>
          <c:val>
            <c:numRef>
              <c:f>Sheet1!$B$4:$E$4</c:f>
              <c:numCache>
                <c:formatCode>General</c:formatCode>
                <c:ptCount val="4"/>
                <c:pt idx="0">
                  <c:v>108173.8</c:v>
                </c:pt>
                <c:pt idx="1">
                  <c:v>96832.8</c:v>
                </c:pt>
                <c:pt idx="2" formatCode="0.0">
                  <c:v>11341</c:v>
                </c:pt>
              </c:numCache>
            </c:numRef>
          </c:val>
        </c:ser>
        <c:ser>
          <c:idx val="3"/>
          <c:order val="3"/>
          <c:tx>
            <c:strRef>
              <c:f>Sheet1!$A$5</c:f>
              <c:strCache>
                <c:ptCount val="1"/>
                <c:pt idx="0">
                  <c:v>2020 факт</c:v>
                </c:pt>
              </c:strCache>
            </c:strRef>
          </c:tx>
          <c:spPr>
            <a:solidFill>
              <a:srgbClr val="CCFFFF"/>
            </a:solidFill>
            <a:ln w="12707">
              <a:solidFill>
                <a:srgbClr val="000000"/>
              </a:solidFill>
              <a:prstDash val="solid"/>
            </a:ln>
          </c:spPr>
          <c:dLbls>
            <c:dLbl>
              <c:idx val="0"/>
              <c:layout>
                <c:manualLayout>
                  <c:x val="-1.6531502968839264E-4"/>
                  <c:y val="0.19287989684047896"/>
                </c:manualLayout>
              </c:layout>
              <c:showVal val="1"/>
              <c:extLst>
                <c:ext xmlns:c15="http://schemas.microsoft.com/office/drawing/2012/chart" uri="{CE6537A1-D6FC-4f65-9D91-7224C49458BB}">
                  <c15:layout/>
                </c:ext>
              </c:extLst>
            </c:dLbl>
            <c:dLbl>
              <c:idx val="1"/>
              <c:layout>
                <c:manualLayout>
                  <c:x val="2.2584272382527235E-3"/>
                  <c:y val="0.1679498373074956"/>
                </c:manualLayout>
              </c:layout>
              <c:showVal val="1"/>
              <c:extLst>
                <c:ext xmlns:c15="http://schemas.microsoft.com/office/drawing/2012/chart" uri="{CE6537A1-D6FC-4f65-9D91-7224C49458BB}">
                  <c15:layout/>
                </c:ext>
              </c:extLst>
            </c:dLbl>
            <c:dLbl>
              <c:idx val="2"/>
              <c:layout>
                <c:manualLayout>
                  <c:x val="1.5846203015089294E-2"/>
                  <c:y val="-2.5972467714038688E-2"/>
                </c:manualLayout>
              </c:layout>
              <c:showVal val="1"/>
              <c:extLst>
                <c:ext xmlns:c15="http://schemas.microsoft.com/office/drawing/2012/chart" uri="{CE6537A1-D6FC-4f65-9D91-7224C49458BB}">
                  <c15:layout/>
                </c:ext>
              </c:extLst>
            </c:dLbl>
            <c:spPr>
              <a:noFill/>
              <a:ln w="25414">
                <a:noFill/>
              </a:ln>
            </c:spPr>
            <c:txPr>
              <a:bodyPr rot="-5400000" vert="horz"/>
              <a:lstStyle/>
              <a:p>
                <a:pPr algn="ctr">
                  <a:defRPr sz="1001" b="1" i="0" u="none" strike="noStrike" baseline="0">
                    <a:solidFill>
                      <a:srgbClr val="000000"/>
                    </a:solidFill>
                    <a:latin typeface="Arial Cyr"/>
                    <a:ea typeface="Arial Cyr"/>
                    <a:cs typeface="Arial Cyr"/>
                  </a:defRPr>
                </a:pPr>
                <a:endParaRPr lang="ru-RU"/>
              </a:p>
            </c:txPr>
            <c:showVal val="1"/>
            <c:extLst>
              <c:ext xmlns:c15="http://schemas.microsoft.com/office/drawing/2012/chart" uri="{CE6537A1-D6FC-4f65-9D91-7224C49458BB}">
                <c15:showLeaderLines val="0"/>
              </c:ext>
            </c:extLst>
          </c:dLbls>
          <c:cat>
            <c:strRef>
              <c:f>Sheet1!$B$1:$E$1</c:f>
              <c:strCache>
                <c:ptCount val="3"/>
                <c:pt idx="0">
                  <c:v>Всього</c:v>
                </c:pt>
                <c:pt idx="1">
                  <c:v>Загальний фонд</c:v>
                </c:pt>
                <c:pt idx="2">
                  <c:v>Спеціальний фонд</c:v>
                </c:pt>
              </c:strCache>
            </c:strRef>
          </c:cat>
          <c:val>
            <c:numRef>
              <c:f>Sheet1!$B$5:$E$5</c:f>
              <c:numCache>
                <c:formatCode>General</c:formatCode>
                <c:ptCount val="4"/>
                <c:pt idx="0">
                  <c:v>112096.9</c:v>
                </c:pt>
                <c:pt idx="1">
                  <c:v>106404.1</c:v>
                </c:pt>
                <c:pt idx="2">
                  <c:v>5692.8</c:v>
                </c:pt>
              </c:numCache>
            </c:numRef>
          </c:val>
        </c:ser>
        <c:ser>
          <c:idx val="4"/>
          <c:order val="4"/>
          <c:tx>
            <c:strRef>
              <c:f>Sheet1!$A$6</c:f>
              <c:strCache>
                <c:ptCount val="1"/>
                <c:pt idx="0">
                  <c:v>2021 очікувані</c:v>
                </c:pt>
              </c:strCache>
            </c:strRef>
          </c:tx>
          <c:spPr>
            <a:solidFill>
              <a:srgbClr val="660066"/>
            </a:solidFill>
            <a:ln w="12707">
              <a:solidFill>
                <a:srgbClr val="000000"/>
              </a:solidFill>
              <a:prstDash val="solid"/>
            </a:ln>
          </c:spPr>
          <c:dLbls>
            <c:dLbl>
              <c:idx val="0"/>
              <c:layout>
                <c:manualLayout>
                  <c:x val="-1.8713200322792425E-3"/>
                  <c:y val="0.16982408532001889"/>
                </c:manualLayout>
              </c:layout>
              <c:tx>
                <c:rich>
                  <a:bodyPr/>
                  <a:lstStyle/>
                  <a:p>
                    <a:r>
                      <a:rPr lang="ru-RU"/>
                      <a:t>143288,9</a:t>
                    </a:r>
                  </a:p>
                </c:rich>
              </c:tx>
              <c:extLst>
                <c:ext xmlns:c15="http://schemas.microsoft.com/office/drawing/2012/chart" uri="{CE6537A1-D6FC-4f65-9D91-7224C49458BB}">
                  <c15:layout/>
                </c:ext>
              </c:extLst>
            </c:dLbl>
            <c:dLbl>
              <c:idx val="1"/>
              <c:layout>
                <c:manualLayout>
                  <c:x val="1.6235121441507617E-4"/>
                  <c:y val="0.16822703820914475"/>
                </c:manualLayout>
              </c:layout>
              <c:tx>
                <c:rich>
                  <a:bodyPr/>
                  <a:lstStyle/>
                  <a:p>
                    <a:r>
                      <a:rPr lang="en-US"/>
                      <a:t>1</a:t>
                    </a:r>
                    <a:r>
                      <a:rPr lang="ru-RU"/>
                      <a:t>40204,2</a:t>
                    </a:r>
                    <a:endParaRPr lang="en-US"/>
                  </a:p>
                </c:rich>
              </c:tx>
              <c:extLst>
                <c:ext xmlns:c15="http://schemas.microsoft.com/office/drawing/2012/chart" uri="{CE6537A1-D6FC-4f65-9D91-7224C49458BB}">
                  <c15:layout/>
                </c:ext>
              </c:extLst>
            </c:dLbl>
            <c:dLbl>
              <c:idx val="2"/>
              <c:layout>
                <c:manualLayout>
                  <c:x val="1.8678128508725095E-2"/>
                  <c:y val="-2.2999138282227164E-2"/>
                </c:manualLayout>
              </c:layout>
              <c:showVal val="1"/>
              <c:extLst>
                <c:ext xmlns:c15="http://schemas.microsoft.com/office/drawing/2012/chart" uri="{CE6537A1-D6FC-4f65-9D91-7224C49458BB}">
                  <c15:layout/>
                </c:ext>
              </c:extLst>
            </c:dLbl>
            <c:spPr>
              <a:noFill/>
              <a:ln w="25414">
                <a:noFill/>
              </a:ln>
            </c:spPr>
            <c:txPr>
              <a:bodyPr rot="-5400000" vert="horz"/>
              <a:lstStyle/>
              <a:p>
                <a:pPr algn="ctr">
                  <a:defRPr sz="1126" b="1" i="0" u="none" strike="noStrike" baseline="0">
                    <a:solidFill>
                      <a:srgbClr val="000000"/>
                    </a:solidFill>
                    <a:latin typeface="Arial Cyr"/>
                    <a:ea typeface="Arial Cyr"/>
                    <a:cs typeface="Arial Cyr"/>
                  </a:defRPr>
                </a:pPr>
                <a:endParaRPr lang="ru-RU"/>
              </a:p>
            </c:txPr>
            <c:showVal val="1"/>
            <c:extLst>
              <c:ext xmlns:c15="http://schemas.microsoft.com/office/drawing/2012/chart" uri="{CE6537A1-D6FC-4f65-9D91-7224C49458BB}">
                <c15:showLeaderLines val="0"/>
              </c:ext>
            </c:extLst>
          </c:dLbls>
          <c:cat>
            <c:strRef>
              <c:f>Sheet1!$B$1:$E$1</c:f>
              <c:strCache>
                <c:ptCount val="3"/>
                <c:pt idx="0">
                  <c:v>Всього</c:v>
                </c:pt>
                <c:pt idx="1">
                  <c:v>Загальний фонд</c:v>
                </c:pt>
                <c:pt idx="2">
                  <c:v>Спеціальний фонд</c:v>
                </c:pt>
              </c:strCache>
            </c:strRef>
          </c:cat>
          <c:val>
            <c:numRef>
              <c:f>Sheet1!$B$6:$E$6</c:f>
              <c:numCache>
                <c:formatCode>General</c:formatCode>
                <c:ptCount val="4"/>
                <c:pt idx="0">
                  <c:v>143288.9</c:v>
                </c:pt>
                <c:pt idx="1">
                  <c:v>140204.20000000001</c:v>
                </c:pt>
                <c:pt idx="2">
                  <c:v>3084.7</c:v>
                </c:pt>
              </c:numCache>
            </c:numRef>
          </c:val>
        </c:ser>
        <c:ser>
          <c:idx val="5"/>
          <c:order val="5"/>
          <c:tx>
            <c:strRef>
              <c:f>Sheet1!$A$7</c:f>
              <c:strCache>
                <c:ptCount val="1"/>
                <c:pt idx="0">
                  <c:v>2022 проєкт</c:v>
                </c:pt>
              </c:strCache>
            </c:strRef>
          </c:tx>
          <c:spPr>
            <a:solidFill>
              <a:srgbClr val="FF8080"/>
            </a:solidFill>
            <a:ln w="12707">
              <a:solidFill>
                <a:srgbClr val="000000"/>
              </a:solidFill>
              <a:prstDash val="solid"/>
            </a:ln>
          </c:spPr>
          <c:dLbls>
            <c:dLbl>
              <c:idx val="2"/>
              <c:layout>
                <c:manualLayout>
                  <c:x val="5.0187271961171502E-2"/>
                  <c:y val="0"/>
                </c:manualLayout>
              </c:layout>
              <c:showVal val="1"/>
              <c:extLst>
                <c:ext xmlns:c15="http://schemas.microsoft.com/office/drawing/2012/chart" uri="{CE6537A1-D6FC-4f65-9D91-7224C49458BB}">
                  <c15:layout/>
                </c:ext>
              </c:extLst>
            </c:dLbl>
            <c:spPr>
              <a:noFill/>
              <a:ln w="25414">
                <a:noFill/>
              </a:ln>
            </c:spPr>
            <c:txPr>
              <a:bodyPr/>
              <a:lstStyle/>
              <a:p>
                <a:pPr>
                  <a:defRPr sz="1201" b="1" i="0" u="none" strike="noStrike" baseline="0">
                    <a:solidFill>
                      <a:srgbClr val="000000"/>
                    </a:solidFill>
                    <a:latin typeface="Arial Cyr"/>
                    <a:ea typeface="Arial Cyr"/>
                    <a:cs typeface="Arial Cyr"/>
                  </a:defRPr>
                </a:pPr>
                <a:endParaRPr lang="ru-RU"/>
              </a:p>
            </c:txPr>
            <c:showVal val="1"/>
            <c:extLst>
              <c:ext xmlns:c15="http://schemas.microsoft.com/office/drawing/2012/chart" uri="{CE6537A1-D6FC-4f65-9D91-7224C49458BB}">
                <c15:layout/>
                <c15:showLeaderLines val="0"/>
              </c:ext>
            </c:extLst>
          </c:dLbls>
          <c:cat>
            <c:strRef>
              <c:f>Sheet1!$B$1:$E$1</c:f>
              <c:strCache>
                <c:ptCount val="3"/>
                <c:pt idx="0">
                  <c:v>Всього</c:v>
                </c:pt>
                <c:pt idx="1">
                  <c:v>Загальний фонд</c:v>
                </c:pt>
                <c:pt idx="2">
                  <c:v>Спеціальний фонд</c:v>
                </c:pt>
              </c:strCache>
            </c:strRef>
          </c:cat>
          <c:val>
            <c:numRef>
              <c:f>Sheet1!$B$7:$E$7</c:f>
              <c:numCache>
                <c:formatCode>0.0</c:formatCode>
                <c:ptCount val="4"/>
                <c:pt idx="0" formatCode="General">
                  <c:v>152332.1</c:v>
                </c:pt>
                <c:pt idx="1">
                  <c:v>149255</c:v>
                </c:pt>
                <c:pt idx="2" formatCode="General">
                  <c:v>3077.1</c:v>
                </c:pt>
              </c:numCache>
            </c:numRef>
          </c:val>
        </c:ser>
        <c:dLbls>
          <c:showVal val="1"/>
        </c:dLbls>
        <c:gapDepth val="0"/>
        <c:shape val="box"/>
        <c:axId val="188845056"/>
        <c:axId val="188941056"/>
        <c:axId val="0"/>
      </c:bar3DChart>
      <c:catAx>
        <c:axId val="188845056"/>
        <c:scaling>
          <c:orientation val="minMax"/>
        </c:scaling>
        <c:axPos val="b"/>
        <c:numFmt formatCode="General" sourceLinked="1"/>
        <c:tickLblPos val="low"/>
        <c:spPr>
          <a:ln w="3177">
            <a:solidFill>
              <a:srgbClr val="000000"/>
            </a:solidFill>
            <a:prstDash val="solid"/>
          </a:ln>
        </c:spPr>
        <c:txPr>
          <a:bodyPr rot="0" vert="horz"/>
          <a:lstStyle/>
          <a:p>
            <a:pPr>
              <a:defRPr sz="800" b="1" i="0" u="none" strike="noStrike" baseline="0">
                <a:solidFill>
                  <a:srgbClr val="000000"/>
                </a:solidFill>
                <a:latin typeface="Arial Cyr"/>
                <a:ea typeface="Arial Cyr"/>
                <a:cs typeface="Arial Cyr"/>
              </a:defRPr>
            </a:pPr>
            <a:endParaRPr lang="ru-RU"/>
          </a:p>
        </c:txPr>
        <c:crossAx val="188941056"/>
        <c:crosses val="autoZero"/>
        <c:auto val="1"/>
        <c:lblAlgn val="ctr"/>
        <c:lblOffset val="100"/>
        <c:tickLblSkip val="1"/>
        <c:tickMarkSkip val="1"/>
      </c:catAx>
      <c:valAx>
        <c:axId val="188941056"/>
        <c:scaling>
          <c:orientation val="minMax"/>
        </c:scaling>
        <c:delete val="1"/>
        <c:axPos val="l"/>
        <c:majorGridlines>
          <c:spPr>
            <a:ln w="3177">
              <a:solidFill>
                <a:srgbClr val="000000"/>
              </a:solidFill>
              <a:prstDash val="solid"/>
            </a:ln>
          </c:spPr>
        </c:majorGridlines>
        <c:numFmt formatCode="General" sourceLinked="1"/>
        <c:tickLblPos val="nextTo"/>
        <c:crossAx val="188845056"/>
        <c:crosses val="autoZero"/>
        <c:crossBetween val="between"/>
      </c:valAx>
      <c:spPr>
        <a:noFill/>
        <a:ln w="25414">
          <a:noFill/>
        </a:ln>
      </c:spPr>
    </c:plotArea>
    <c:legend>
      <c:legendPos val="b"/>
      <c:layout>
        <c:manualLayout>
          <c:xMode val="edge"/>
          <c:yMode val="edge"/>
          <c:x val="0.12121212121212141"/>
          <c:y val="0.82000000000000062"/>
          <c:w val="0.75598086124401964"/>
          <c:h val="0.17"/>
        </c:manualLayout>
      </c:layout>
      <c:spPr>
        <a:noFill/>
        <a:ln w="3177">
          <a:solidFill>
            <a:srgbClr val="000000"/>
          </a:solidFill>
          <a:prstDash val="solid"/>
        </a:ln>
      </c:spPr>
      <c:txPr>
        <a:bodyPr/>
        <a:lstStyle/>
        <a:p>
          <a:pPr>
            <a:defRPr sz="1101" b="1" i="0" u="none" strike="noStrike" baseline="0">
              <a:solidFill>
                <a:srgbClr val="000000"/>
              </a:solidFill>
              <a:latin typeface="Arial Cyr"/>
              <a:ea typeface="Arial Cyr"/>
              <a:cs typeface="Arial Cyr"/>
            </a:defRPr>
          </a:pPr>
          <a:endParaRPr lang="ru-RU"/>
        </a:p>
      </c:txPr>
    </c:legend>
    <c:plotVisOnly val="1"/>
    <c:dispBlanksAs val="gap"/>
  </c:chart>
  <c:spPr>
    <a:noFill/>
    <a:ln>
      <a:noFill/>
    </a:ln>
  </c:spPr>
  <c:txPr>
    <a:bodyPr/>
    <a:lstStyle/>
    <a:p>
      <a:pPr>
        <a:defRPr sz="1201" b="1" i="0" u="none" strike="noStrike" baseline="0">
          <a:solidFill>
            <a:srgbClr val="000000"/>
          </a:solidFill>
          <a:latin typeface="Arial Cyr"/>
          <a:ea typeface="Arial Cyr"/>
          <a:cs typeface="Arial Cyr"/>
        </a:defRPr>
      </a:pPr>
      <a:endParaRPr lang="ru-RU"/>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hPercent val="52"/>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2.0329249446196976E-2"/>
          <c:y val="4.3549479016506167E-2"/>
          <c:w val="0.97763070137016772"/>
          <c:h val="0.86746239714340023"/>
        </c:manualLayout>
      </c:layout>
      <c:bar3DChart>
        <c:barDir val="col"/>
        <c:grouping val="clustered"/>
        <c:ser>
          <c:idx val="0"/>
          <c:order val="0"/>
          <c:tx>
            <c:strRef>
              <c:f>Sheet1!$A$2</c:f>
              <c:strCache>
                <c:ptCount val="1"/>
                <c:pt idx="0">
                  <c:v>ПДФО</c:v>
                </c:pt>
              </c:strCache>
            </c:strRef>
          </c:tx>
          <c:spPr>
            <a:solidFill>
              <a:srgbClr val="9999FF"/>
            </a:solidFill>
            <a:ln w="12691">
              <a:solidFill>
                <a:srgbClr val="000000"/>
              </a:solidFill>
              <a:prstDash val="solid"/>
            </a:ln>
          </c:spPr>
          <c:dLbls>
            <c:spPr>
              <a:noFill/>
              <a:ln w="25381">
                <a:noFill/>
              </a:ln>
            </c:spPr>
            <c:txPr>
              <a:bodyPr/>
              <a:lstStyle/>
              <a:p>
                <a:pPr>
                  <a:defRPr sz="1024" b="1" i="0" u="none" strike="noStrike" baseline="0">
                    <a:solidFill>
                      <a:srgbClr val="000000"/>
                    </a:solidFill>
                    <a:latin typeface="Arial Cyr"/>
                    <a:ea typeface="Arial Cyr"/>
                    <a:cs typeface="Arial Cyr"/>
                  </a:defRPr>
                </a:pPr>
                <a:endParaRPr lang="ru-RU"/>
              </a:p>
            </c:txPr>
            <c:showVal val="1"/>
            <c:extLst>
              <c:ext xmlns:c15="http://schemas.microsoft.com/office/drawing/2012/chart" uri="{CE6537A1-D6FC-4f65-9D91-7224C49458BB}">
                <c15:layout/>
                <c15:showLeaderLines val="0"/>
              </c:ext>
            </c:extLst>
          </c:dLbls>
          <c:cat>
            <c:strRef>
              <c:f>Sheet1!$B$1:$G$1</c:f>
              <c:strCache>
                <c:ptCount val="6"/>
                <c:pt idx="0">
                  <c:v>2017 факт</c:v>
                </c:pt>
                <c:pt idx="1">
                  <c:v>2018 факт</c:v>
                </c:pt>
                <c:pt idx="2">
                  <c:v>2019 факт</c:v>
                </c:pt>
                <c:pt idx="3">
                  <c:v>2020 факт</c:v>
                </c:pt>
                <c:pt idx="4">
                  <c:v>2021 очікувані</c:v>
                </c:pt>
                <c:pt idx="5">
                  <c:v>2022 проєкт</c:v>
                </c:pt>
              </c:strCache>
            </c:strRef>
          </c:cat>
          <c:val>
            <c:numRef>
              <c:f>Sheet1!$B$2:$G$2</c:f>
              <c:numCache>
                <c:formatCode>General</c:formatCode>
                <c:ptCount val="6"/>
                <c:pt idx="0">
                  <c:v>33915.699999999997</c:v>
                </c:pt>
                <c:pt idx="1">
                  <c:v>42127.4</c:v>
                </c:pt>
                <c:pt idx="2">
                  <c:v>44692</c:v>
                </c:pt>
                <c:pt idx="3">
                  <c:v>51232.2</c:v>
                </c:pt>
                <c:pt idx="4">
                  <c:v>72438.600000000006</c:v>
                </c:pt>
                <c:pt idx="5" formatCode="0.0">
                  <c:v>82713.7</c:v>
                </c:pt>
              </c:numCache>
            </c:numRef>
          </c:val>
        </c:ser>
        <c:dLbls>
          <c:showVal val="1"/>
        </c:dLbls>
        <c:gapDepth val="0"/>
        <c:shape val="box"/>
        <c:axId val="214372736"/>
        <c:axId val="214374272"/>
        <c:axId val="0"/>
      </c:bar3DChart>
      <c:catAx>
        <c:axId val="214372736"/>
        <c:scaling>
          <c:orientation val="minMax"/>
        </c:scaling>
        <c:axPos val="b"/>
        <c:numFmt formatCode="General" sourceLinked="1"/>
        <c:tickLblPos val="low"/>
        <c:spPr>
          <a:ln w="3173">
            <a:solidFill>
              <a:srgbClr val="000000"/>
            </a:solidFill>
            <a:prstDash val="solid"/>
          </a:ln>
        </c:spPr>
        <c:txPr>
          <a:bodyPr rot="0" vert="horz"/>
          <a:lstStyle/>
          <a:p>
            <a:pPr>
              <a:defRPr sz="850" b="1" i="0" u="none" strike="noStrike" baseline="0">
                <a:solidFill>
                  <a:srgbClr val="000000"/>
                </a:solidFill>
                <a:latin typeface="Arial Cyr"/>
                <a:ea typeface="Arial Cyr"/>
                <a:cs typeface="Arial Cyr"/>
              </a:defRPr>
            </a:pPr>
            <a:endParaRPr lang="ru-RU"/>
          </a:p>
        </c:txPr>
        <c:crossAx val="214374272"/>
        <c:crossesAt val="0"/>
        <c:auto val="1"/>
        <c:lblAlgn val="ctr"/>
        <c:lblOffset val="100"/>
        <c:tickLblSkip val="1"/>
        <c:tickMarkSkip val="1"/>
      </c:catAx>
      <c:valAx>
        <c:axId val="214374272"/>
        <c:scaling>
          <c:orientation val="minMax"/>
          <c:max val="50000"/>
          <c:min val="0"/>
        </c:scaling>
        <c:delete val="1"/>
        <c:axPos val="l"/>
        <c:majorGridlines>
          <c:spPr>
            <a:ln w="3173">
              <a:solidFill>
                <a:srgbClr val="000000"/>
              </a:solidFill>
              <a:prstDash val="solid"/>
            </a:ln>
          </c:spPr>
        </c:majorGridlines>
        <c:numFmt formatCode="General" sourceLinked="1"/>
        <c:tickLblPos val="nextTo"/>
        <c:crossAx val="214372736"/>
        <c:crosses val="autoZero"/>
        <c:crossBetween val="between"/>
        <c:majorUnit val="10000"/>
        <c:minorUnit val="2000"/>
      </c:valAx>
      <c:spPr>
        <a:noFill/>
        <a:ln w="25381">
          <a:noFill/>
        </a:ln>
      </c:spPr>
    </c:plotArea>
    <c:legend>
      <c:legendPos val="r"/>
      <c:layout>
        <c:manualLayout>
          <c:xMode val="edge"/>
          <c:yMode val="edge"/>
          <c:x val="2.8073636967074168E-4"/>
          <c:y val="3.5706216137140742E-2"/>
          <c:w val="0.12820512820512819"/>
          <c:h val="9.7457627118644072E-2"/>
        </c:manualLayout>
      </c:layout>
      <c:spPr>
        <a:noFill/>
        <a:ln w="3173">
          <a:solidFill>
            <a:srgbClr val="000000"/>
          </a:solidFill>
          <a:prstDash val="solid"/>
        </a:ln>
      </c:spPr>
      <c:txPr>
        <a:bodyPr/>
        <a:lstStyle/>
        <a:p>
          <a:pPr>
            <a:defRPr sz="939" b="1" i="0" u="none" strike="noStrike" baseline="0">
              <a:solidFill>
                <a:srgbClr val="000000"/>
              </a:solidFill>
              <a:latin typeface="Arial Cyr"/>
              <a:ea typeface="Arial Cyr"/>
              <a:cs typeface="Arial Cyr"/>
            </a:defRPr>
          </a:pPr>
          <a:endParaRPr lang="ru-RU"/>
        </a:p>
      </c:txPr>
    </c:legend>
    <c:plotVisOnly val="1"/>
    <c:dispBlanksAs val="gap"/>
  </c:chart>
  <c:spPr>
    <a:noFill/>
    <a:ln>
      <a:noFill/>
    </a:ln>
  </c:spPr>
  <c:txPr>
    <a:bodyPr/>
    <a:lstStyle/>
    <a:p>
      <a:pPr>
        <a:defRPr sz="1024" b="1" i="0" u="none" strike="noStrike" baseline="0">
          <a:solidFill>
            <a:srgbClr val="000000"/>
          </a:solidFill>
          <a:latin typeface="Arial Cyr"/>
          <a:ea typeface="Arial Cyr"/>
          <a:cs typeface="Arial Cyr"/>
        </a:defRPr>
      </a:pPr>
      <a:endParaRPr lang="ru-RU"/>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hPercent val="62"/>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5.50833672539985E-4"/>
          <c:y val="4.4042893171360918E-2"/>
          <c:w val="0.83407320898457171"/>
          <c:h val="0.72808809656739171"/>
        </c:manualLayout>
      </c:layout>
      <c:bar3DChart>
        <c:barDir val="col"/>
        <c:grouping val="clustered"/>
        <c:ser>
          <c:idx val="0"/>
          <c:order val="0"/>
          <c:tx>
            <c:strRef>
              <c:f>Sheet1!$A$2</c:f>
              <c:strCache>
                <c:ptCount val="1"/>
                <c:pt idx="0">
                  <c:v>акциз пальне 14020000</c:v>
                </c:pt>
              </c:strCache>
            </c:strRef>
          </c:tx>
          <c:spPr>
            <a:solidFill>
              <a:srgbClr val="9999FF"/>
            </a:solidFill>
            <a:ln w="12700">
              <a:solidFill>
                <a:srgbClr val="000000"/>
              </a:solidFill>
              <a:prstDash val="solid"/>
            </a:ln>
          </c:spPr>
          <c:dLbls>
            <c:spPr>
              <a:noFill/>
              <a:ln w="25399">
                <a:noFill/>
              </a:ln>
            </c:spPr>
            <c:txPr>
              <a:bodyPr/>
              <a:lstStyle/>
              <a:p>
                <a:pPr>
                  <a:defRPr sz="1150" b="1" i="0" u="none" strike="noStrike" baseline="0">
                    <a:solidFill>
                      <a:srgbClr val="000000"/>
                    </a:solidFill>
                    <a:latin typeface="Arial Cyr"/>
                    <a:ea typeface="Arial Cyr"/>
                    <a:cs typeface="Arial Cyr"/>
                  </a:defRPr>
                </a:pPr>
                <a:endParaRPr lang="ru-RU"/>
              </a:p>
            </c:txPr>
            <c:showVal val="1"/>
            <c:extLst>
              <c:ext xmlns:c15="http://schemas.microsoft.com/office/drawing/2012/chart" uri="{CE6537A1-D6FC-4f65-9D91-7224C49458BB}">
                <c15:layout/>
                <c15:showLeaderLines val="0"/>
              </c:ext>
            </c:extLst>
          </c:dLbls>
          <c:cat>
            <c:strRef>
              <c:f>Sheet1!$B$1:$G$1</c:f>
              <c:strCache>
                <c:ptCount val="6"/>
                <c:pt idx="0">
                  <c:v>2017 факт</c:v>
                </c:pt>
                <c:pt idx="1">
                  <c:v>2018 факт</c:v>
                </c:pt>
                <c:pt idx="2">
                  <c:v>2019 факт</c:v>
                </c:pt>
                <c:pt idx="3">
                  <c:v>2020 факт</c:v>
                </c:pt>
                <c:pt idx="4">
                  <c:v>2021 очувані</c:v>
                </c:pt>
                <c:pt idx="5">
                  <c:v>2022 проєкт</c:v>
                </c:pt>
              </c:strCache>
            </c:strRef>
          </c:cat>
          <c:val>
            <c:numRef>
              <c:f>Sheet1!$B$2:$G$2</c:f>
              <c:numCache>
                <c:formatCode>General</c:formatCode>
                <c:ptCount val="6"/>
                <c:pt idx="0">
                  <c:v>1492.7</c:v>
                </c:pt>
                <c:pt idx="1">
                  <c:v>1295.2</c:v>
                </c:pt>
                <c:pt idx="2">
                  <c:v>877.8</c:v>
                </c:pt>
                <c:pt idx="3" formatCode="0.0">
                  <c:v>877.3</c:v>
                </c:pt>
                <c:pt idx="4" formatCode="0.0">
                  <c:v>1750.3</c:v>
                </c:pt>
                <c:pt idx="5" formatCode="0.0">
                  <c:v>1800</c:v>
                </c:pt>
              </c:numCache>
            </c:numRef>
          </c:val>
        </c:ser>
        <c:dLbls>
          <c:showVal val="1"/>
        </c:dLbls>
        <c:gapDepth val="0"/>
        <c:shape val="box"/>
        <c:axId val="214402944"/>
        <c:axId val="214404480"/>
        <c:axId val="0"/>
      </c:bar3DChart>
      <c:catAx>
        <c:axId val="214402944"/>
        <c:scaling>
          <c:orientation val="minMax"/>
        </c:scaling>
        <c:axPos val="b"/>
        <c:numFmt formatCode="General" sourceLinked="1"/>
        <c:tickLblPos val="low"/>
        <c:spPr>
          <a:ln w="3175">
            <a:solidFill>
              <a:srgbClr val="000000"/>
            </a:solidFill>
            <a:prstDash val="solid"/>
          </a:ln>
        </c:spPr>
        <c:txPr>
          <a:bodyPr rot="0" vert="horz"/>
          <a:lstStyle/>
          <a:p>
            <a:pPr>
              <a:defRPr sz="800" b="1" i="0" u="none" strike="noStrike" baseline="0">
                <a:solidFill>
                  <a:srgbClr val="000000"/>
                </a:solidFill>
                <a:latin typeface="Arial Cyr"/>
                <a:ea typeface="Arial Cyr"/>
                <a:cs typeface="Arial Cyr"/>
              </a:defRPr>
            </a:pPr>
            <a:endParaRPr lang="ru-RU"/>
          </a:p>
        </c:txPr>
        <c:crossAx val="214404480"/>
        <c:crosses val="autoZero"/>
        <c:auto val="1"/>
        <c:lblAlgn val="ctr"/>
        <c:lblOffset val="100"/>
      </c:catAx>
      <c:valAx>
        <c:axId val="214404480"/>
        <c:scaling>
          <c:orientation val="minMax"/>
        </c:scaling>
        <c:delete val="1"/>
        <c:axPos val="l"/>
        <c:majorGridlines>
          <c:spPr>
            <a:ln w="3175">
              <a:solidFill>
                <a:srgbClr val="000000"/>
              </a:solidFill>
              <a:prstDash val="solid"/>
            </a:ln>
          </c:spPr>
        </c:majorGridlines>
        <c:numFmt formatCode="General" sourceLinked="1"/>
        <c:tickLblPos val="nextTo"/>
        <c:crossAx val="214402944"/>
        <c:crosses val="autoZero"/>
        <c:crossBetween val="between"/>
      </c:valAx>
    </c:plotArea>
    <c:legend>
      <c:legendPos val="r"/>
      <c:layout>
        <c:manualLayout>
          <c:xMode val="edge"/>
          <c:yMode val="edge"/>
          <c:x val="0.84324324324324362"/>
          <c:y val="7.6045627376425924E-3"/>
          <c:w val="0.15675674169047518"/>
          <c:h val="6.9024448866968582E-2"/>
        </c:manualLayout>
      </c:layout>
      <c:spPr>
        <a:noFill/>
        <a:ln w="3175">
          <a:solidFill>
            <a:srgbClr val="000000"/>
          </a:solidFill>
          <a:prstDash val="solid"/>
        </a:ln>
      </c:spPr>
      <c:txPr>
        <a:bodyPr/>
        <a:lstStyle/>
        <a:p>
          <a:pPr>
            <a:defRPr sz="735" b="1" i="0" u="none" strike="noStrike" baseline="0">
              <a:solidFill>
                <a:srgbClr val="000000"/>
              </a:solidFill>
              <a:latin typeface="Arial Cyr"/>
              <a:ea typeface="Arial Cyr"/>
              <a:cs typeface="Arial Cyr"/>
            </a:defRPr>
          </a:pPr>
          <a:endParaRPr lang="ru-RU"/>
        </a:p>
      </c:txPr>
    </c:legend>
    <c:plotVisOnly val="1"/>
    <c:dispBlanksAs val="gap"/>
  </c:chart>
  <c:spPr>
    <a:noFill/>
    <a:ln>
      <a:noFill/>
    </a:ln>
  </c:spPr>
  <c:txPr>
    <a:bodyPr/>
    <a:lstStyle/>
    <a:p>
      <a:pPr>
        <a:defRPr sz="1150" b="1" i="0" u="none" strike="noStrike" baseline="0">
          <a:solidFill>
            <a:srgbClr val="000000"/>
          </a:solidFill>
          <a:latin typeface="Arial Cyr"/>
          <a:ea typeface="Arial Cyr"/>
          <a:cs typeface="Arial Cyr"/>
        </a:defRPr>
      </a:pPr>
      <a:endParaRPr lang="ru-RU"/>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hPercent val="58"/>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1.6216216216216221E-2"/>
          <c:y val="3.6734693877551045E-2"/>
          <c:w val="0.8106515513809146"/>
          <c:h val="0.82242519685039361"/>
        </c:manualLayout>
      </c:layout>
      <c:bar3DChart>
        <c:barDir val="col"/>
        <c:grouping val="clustered"/>
        <c:ser>
          <c:idx val="0"/>
          <c:order val="0"/>
          <c:tx>
            <c:strRef>
              <c:f>Sheet1!$A$2</c:f>
              <c:strCache>
                <c:ptCount val="1"/>
                <c:pt idx="0">
                  <c:v>акциз пальне 14030000</c:v>
                </c:pt>
              </c:strCache>
            </c:strRef>
          </c:tx>
          <c:spPr>
            <a:solidFill>
              <a:srgbClr val="9999FF"/>
            </a:solidFill>
            <a:ln w="12700">
              <a:solidFill>
                <a:srgbClr val="000000"/>
              </a:solidFill>
              <a:prstDash val="solid"/>
            </a:ln>
          </c:spPr>
          <c:dLbls>
            <c:spPr>
              <a:noFill/>
              <a:ln w="25399">
                <a:noFill/>
              </a:ln>
            </c:spPr>
            <c:txPr>
              <a:bodyPr/>
              <a:lstStyle/>
              <a:p>
                <a:pPr>
                  <a:defRPr sz="1075" b="1" i="0" u="none" strike="noStrike" baseline="0">
                    <a:solidFill>
                      <a:srgbClr val="000000"/>
                    </a:solidFill>
                    <a:latin typeface="Arial Cyr"/>
                    <a:ea typeface="Arial Cyr"/>
                    <a:cs typeface="Arial Cyr"/>
                  </a:defRPr>
                </a:pPr>
                <a:endParaRPr lang="ru-RU"/>
              </a:p>
            </c:txPr>
            <c:showVal val="1"/>
            <c:extLst>
              <c:ext xmlns:c15="http://schemas.microsoft.com/office/drawing/2012/chart" uri="{CE6537A1-D6FC-4f65-9D91-7224C49458BB}">
                <c15:layout/>
                <c15:showLeaderLines val="0"/>
              </c:ext>
            </c:extLst>
          </c:dLbls>
          <c:cat>
            <c:strRef>
              <c:f>Sheet1!$B$1:$G$1</c:f>
              <c:strCache>
                <c:ptCount val="6"/>
                <c:pt idx="0">
                  <c:v>2017 факт</c:v>
                </c:pt>
                <c:pt idx="1">
                  <c:v>2018 факт</c:v>
                </c:pt>
                <c:pt idx="2">
                  <c:v>2019 факт</c:v>
                </c:pt>
                <c:pt idx="3">
                  <c:v>2020 факт</c:v>
                </c:pt>
                <c:pt idx="4">
                  <c:v>2021 очікувані</c:v>
                </c:pt>
                <c:pt idx="5">
                  <c:v>2022 проєкт</c:v>
                </c:pt>
              </c:strCache>
            </c:strRef>
          </c:cat>
          <c:val>
            <c:numRef>
              <c:f>Sheet1!$B$2:$G$2</c:f>
              <c:numCache>
                <c:formatCode>General</c:formatCode>
                <c:ptCount val="6"/>
                <c:pt idx="0">
                  <c:v>5735.6</c:v>
                </c:pt>
                <c:pt idx="1">
                  <c:v>5314.8</c:v>
                </c:pt>
                <c:pt idx="2">
                  <c:v>3602.1</c:v>
                </c:pt>
                <c:pt idx="3">
                  <c:v>3079.3</c:v>
                </c:pt>
                <c:pt idx="4" formatCode="0.0">
                  <c:v>5696.8</c:v>
                </c:pt>
                <c:pt idx="5" formatCode="0.0">
                  <c:v>6000</c:v>
                </c:pt>
              </c:numCache>
            </c:numRef>
          </c:val>
        </c:ser>
        <c:dLbls>
          <c:showVal val="1"/>
        </c:dLbls>
        <c:gapDepth val="0"/>
        <c:shape val="box"/>
        <c:axId val="204762496"/>
        <c:axId val="204768384"/>
        <c:axId val="0"/>
      </c:bar3DChart>
      <c:catAx>
        <c:axId val="204762496"/>
        <c:scaling>
          <c:orientation val="minMax"/>
        </c:scaling>
        <c:axPos val="b"/>
        <c:numFmt formatCode="General" sourceLinked="1"/>
        <c:tickLblPos val="low"/>
        <c:txPr>
          <a:bodyPr rot="0" vert="horz"/>
          <a:lstStyle/>
          <a:p>
            <a:pPr>
              <a:defRPr sz="800" baseline="0"/>
            </a:pPr>
            <a:endParaRPr lang="ru-RU"/>
          </a:p>
        </c:txPr>
        <c:crossAx val="204768384"/>
        <c:crosses val="autoZero"/>
        <c:auto val="1"/>
        <c:lblAlgn val="ctr"/>
        <c:lblOffset val="100"/>
        <c:tickLblSkip val="1"/>
        <c:tickMarkSkip val="1"/>
      </c:catAx>
      <c:valAx>
        <c:axId val="204768384"/>
        <c:scaling>
          <c:orientation val="minMax"/>
        </c:scaling>
        <c:delete val="1"/>
        <c:axPos val="l"/>
        <c:majorGridlines>
          <c:spPr>
            <a:ln w="3175">
              <a:solidFill>
                <a:srgbClr val="000000"/>
              </a:solidFill>
              <a:prstDash val="solid"/>
            </a:ln>
          </c:spPr>
        </c:majorGridlines>
        <c:numFmt formatCode="General" sourceLinked="1"/>
        <c:tickLblPos val="nextTo"/>
        <c:crossAx val="204762496"/>
        <c:crosses val="autoZero"/>
        <c:crossBetween val="between"/>
      </c:valAx>
      <c:spPr>
        <a:noFill/>
        <a:ln w="25399">
          <a:noFill/>
        </a:ln>
      </c:spPr>
    </c:plotArea>
    <c:legend>
      <c:legendPos val="r"/>
      <c:layout>
        <c:manualLayout>
          <c:xMode val="edge"/>
          <c:yMode val="edge"/>
          <c:x val="0.84324324324324362"/>
          <c:y val="0"/>
          <c:w val="0.15675675675675679"/>
          <c:h val="0.21224489795918391"/>
        </c:manualLayout>
      </c:layout>
      <c:spPr>
        <a:noFill/>
        <a:ln w="3175">
          <a:solidFill>
            <a:srgbClr val="000000"/>
          </a:solidFill>
          <a:prstDash val="solid"/>
        </a:ln>
      </c:spPr>
      <c:txPr>
        <a:bodyPr/>
        <a:lstStyle/>
        <a:p>
          <a:pPr>
            <a:defRPr sz="735" b="1" i="0" u="none" strike="noStrike" baseline="0">
              <a:solidFill>
                <a:srgbClr val="000000"/>
              </a:solidFill>
              <a:latin typeface="Arial Cyr"/>
              <a:ea typeface="Arial Cyr"/>
              <a:cs typeface="Arial Cyr"/>
            </a:defRPr>
          </a:pPr>
          <a:endParaRPr lang="ru-RU"/>
        </a:p>
      </c:txPr>
    </c:legend>
    <c:plotVisOnly val="1"/>
    <c:dispBlanksAs val="gap"/>
  </c:chart>
  <c:spPr>
    <a:noFill/>
    <a:ln>
      <a:noFill/>
    </a:ln>
  </c:spPr>
  <c:txPr>
    <a:bodyPr/>
    <a:lstStyle/>
    <a:p>
      <a:pPr>
        <a:defRPr sz="1075" b="1" i="0" u="none" strike="noStrike" baseline="0">
          <a:solidFill>
            <a:srgbClr val="000000"/>
          </a:solidFill>
          <a:latin typeface="Arial Cyr"/>
          <a:ea typeface="Arial Cyr"/>
          <a:cs typeface="Arial Cyr"/>
        </a:defRPr>
      </a:pPr>
      <a:endParaRPr lang="ru-RU"/>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hPercent val="41"/>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1.7142857142857185E-2"/>
          <c:y val="4.2857142857142913E-2"/>
          <c:w val="0.87809523809523948"/>
          <c:h val="0.82380952380952488"/>
        </c:manualLayout>
      </c:layout>
      <c:bar3DChart>
        <c:barDir val="col"/>
        <c:grouping val="clustered"/>
        <c:ser>
          <c:idx val="0"/>
          <c:order val="0"/>
          <c:tx>
            <c:strRef>
              <c:f>Sheet1!$A$2</c:f>
              <c:strCache>
                <c:ptCount val="1"/>
                <c:pt idx="0">
                  <c:v>акциз</c:v>
                </c:pt>
              </c:strCache>
            </c:strRef>
          </c:tx>
          <c:spPr>
            <a:solidFill>
              <a:srgbClr val="9999FF"/>
            </a:solidFill>
            <a:ln w="13525">
              <a:solidFill>
                <a:srgbClr val="000000"/>
              </a:solidFill>
              <a:prstDash val="solid"/>
            </a:ln>
          </c:spPr>
          <c:dLbls>
            <c:dLbl>
              <c:idx val="0"/>
              <c:layout>
                <c:manualLayout>
                  <c:x val="2.0531842437553217E-2"/>
                  <c:y val="5.6199576251257793E-3"/>
                </c:manualLayout>
              </c:layout>
              <c:showVal val="1"/>
              <c:extLst>
                <c:ext xmlns:c15="http://schemas.microsoft.com/office/drawing/2012/chart" uri="{CE6537A1-D6FC-4f65-9D91-7224C49458BB}">
                  <c15:layout/>
                </c:ext>
              </c:extLst>
            </c:dLbl>
            <c:dLbl>
              <c:idx val="5"/>
              <c:layout>
                <c:manualLayout>
                  <c:x val="1.330421883866118E-2"/>
                  <c:y val="-9.8189983484779867E-3"/>
                </c:manualLayout>
              </c:layout>
              <c:tx>
                <c:rich>
                  <a:bodyPr/>
                  <a:lstStyle/>
                  <a:p>
                    <a:r>
                      <a:rPr lang="ru-RU"/>
                      <a:t>1000,0</a:t>
                    </a:r>
                    <a:endParaRPr lang="en-US"/>
                  </a:p>
                </c:rich>
              </c:tx>
              <c:extLst>
                <c:ext xmlns:c15="http://schemas.microsoft.com/office/drawing/2012/chart" uri="{CE6537A1-D6FC-4f65-9D91-7224C49458BB}">
                  <c15:layout/>
                </c:ext>
              </c:extLst>
            </c:dLbl>
            <c:spPr>
              <a:noFill/>
              <a:ln w="27051">
                <a:noFill/>
              </a:ln>
            </c:spPr>
            <c:txPr>
              <a:bodyPr/>
              <a:lstStyle/>
              <a:p>
                <a:pPr>
                  <a:defRPr sz="745" b="1" i="0" u="none" strike="noStrike" baseline="0">
                    <a:solidFill>
                      <a:srgbClr val="000000"/>
                    </a:solidFill>
                    <a:latin typeface="Arial Cyr"/>
                    <a:ea typeface="Arial Cyr"/>
                    <a:cs typeface="Arial Cyr"/>
                  </a:defRPr>
                </a:pPr>
                <a:endParaRPr lang="ru-RU"/>
              </a:p>
            </c:txPr>
            <c:showVal val="1"/>
            <c:extLst>
              <c:ext xmlns:c15="http://schemas.microsoft.com/office/drawing/2012/chart" uri="{CE6537A1-D6FC-4f65-9D91-7224C49458BB}">
                <c15:layout/>
                <c15:showLeaderLines val="0"/>
              </c:ext>
            </c:extLst>
          </c:dLbls>
          <c:cat>
            <c:strRef>
              <c:f>Sheet1!$B$1:$G$1</c:f>
              <c:strCache>
                <c:ptCount val="6"/>
                <c:pt idx="0">
                  <c:v>2017 факт</c:v>
                </c:pt>
                <c:pt idx="1">
                  <c:v>2018 факт</c:v>
                </c:pt>
                <c:pt idx="2">
                  <c:v>2019 факт</c:v>
                </c:pt>
                <c:pt idx="3">
                  <c:v>2020 факт</c:v>
                </c:pt>
                <c:pt idx="4">
                  <c:v>2021 очікувані</c:v>
                </c:pt>
                <c:pt idx="5">
                  <c:v>2022 проєкт</c:v>
                </c:pt>
              </c:strCache>
            </c:strRef>
          </c:cat>
          <c:val>
            <c:numRef>
              <c:f>Sheet1!$B$2:$G$2</c:f>
              <c:numCache>
                <c:formatCode>General</c:formatCode>
                <c:ptCount val="6"/>
                <c:pt idx="0">
                  <c:v>1874.6</c:v>
                </c:pt>
                <c:pt idx="1">
                  <c:v>1132.4000000000001</c:v>
                </c:pt>
                <c:pt idx="2">
                  <c:v>1160.3</c:v>
                </c:pt>
                <c:pt idx="3" formatCode="0.0">
                  <c:v>1061.2</c:v>
                </c:pt>
                <c:pt idx="4">
                  <c:v>1398.3</c:v>
                </c:pt>
                <c:pt idx="5" formatCode="0.0">
                  <c:v>1000</c:v>
                </c:pt>
              </c:numCache>
            </c:numRef>
          </c:val>
        </c:ser>
        <c:dLbls>
          <c:showVal val="1"/>
        </c:dLbls>
        <c:gapDepth val="0"/>
        <c:shape val="box"/>
        <c:axId val="214422656"/>
        <c:axId val="214424192"/>
        <c:axId val="0"/>
      </c:bar3DChart>
      <c:catAx>
        <c:axId val="214422656"/>
        <c:scaling>
          <c:orientation val="minMax"/>
        </c:scaling>
        <c:axPos val="b"/>
        <c:numFmt formatCode="General" sourceLinked="1"/>
        <c:tickLblPos val="low"/>
        <c:spPr>
          <a:ln w="3381">
            <a:solidFill>
              <a:srgbClr val="000000"/>
            </a:solidFill>
            <a:prstDash val="solid"/>
          </a:ln>
        </c:spPr>
        <c:txPr>
          <a:bodyPr rot="0" vert="horz"/>
          <a:lstStyle/>
          <a:p>
            <a:pPr>
              <a:defRPr sz="612" b="1" i="0" u="none" strike="noStrike" baseline="0">
                <a:solidFill>
                  <a:srgbClr val="000000"/>
                </a:solidFill>
                <a:latin typeface="Arial Cyr"/>
                <a:ea typeface="Arial Cyr"/>
                <a:cs typeface="Arial Cyr"/>
              </a:defRPr>
            </a:pPr>
            <a:endParaRPr lang="ru-RU"/>
          </a:p>
        </c:txPr>
        <c:crossAx val="214424192"/>
        <c:crosses val="autoZero"/>
        <c:auto val="1"/>
        <c:lblAlgn val="ctr"/>
        <c:lblOffset val="100"/>
        <c:tickLblSkip val="1"/>
        <c:tickMarkSkip val="1"/>
      </c:catAx>
      <c:valAx>
        <c:axId val="214424192"/>
        <c:scaling>
          <c:orientation val="minMax"/>
        </c:scaling>
        <c:delete val="1"/>
        <c:axPos val="l"/>
        <c:majorGridlines>
          <c:spPr>
            <a:ln w="3381">
              <a:solidFill>
                <a:srgbClr val="000000"/>
              </a:solidFill>
              <a:prstDash val="solid"/>
            </a:ln>
          </c:spPr>
        </c:majorGridlines>
        <c:numFmt formatCode="General" sourceLinked="1"/>
        <c:tickLblPos val="nextTo"/>
        <c:crossAx val="214422656"/>
        <c:crosses val="autoZero"/>
        <c:crossBetween val="between"/>
      </c:valAx>
      <c:spPr>
        <a:noFill/>
        <a:ln w="27051">
          <a:noFill/>
        </a:ln>
      </c:spPr>
    </c:plotArea>
    <c:legend>
      <c:legendPos val="r"/>
      <c:layout>
        <c:manualLayout>
          <c:xMode val="edge"/>
          <c:yMode val="edge"/>
          <c:x val="0.89333333333333331"/>
          <c:y val="0.45238095238095338"/>
          <c:w val="0.10095238095238096"/>
          <c:h val="0.1"/>
        </c:manualLayout>
      </c:layout>
      <c:spPr>
        <a:noFill/>
        <a:ln w="3381">
          <a:solidFill>
            <a:srgbClr val="000000"/>
          </a:solidFill>
          <a:prstDash val="solid"/>
        </a:ln>
      </c:spPr>
      <c:txPr>
        <a:bodyPr/>
        <a:lstStyle/>
        <a:p>
          <a:pPr>
            <a:defRPr sz="905" b="1" i="0" u="none" strike="noStrike" baseline="0">
              <a:solidFill>
                <a:srgbClr val="000000"/>
              </a:solidFill>
              <a:latin typeface="Arial Cyr"/>
              <a:ea typeface="Arial Cyr"/>
              <a:cs typeface="Arial Cyr"/>
            </a:defRPr>
          </a:pPr>
          <a:endParaRPr lang="ru-RU"/>
        </a:p>
      </c:txPr>
    </c:legend>
    <c:plotVisOnly val="1"/>
    <c:dispBlanksAs val="gap"/>
  </c:chart>
  <c:spPr>
    <a:noFill/>
    <a:ln>
      <a:noFill/>
    </a:ln>
  </c:spPr>
  <c:txPr>
    <a:bodyPr/>
    <a:lstStyle/>
    <a:p>
      <a:pPr>
        <a:defRPr sz="985" b="1" i="0" u="none" strike="noStrike" baseline="0">
          <a:solidFill>
            <a:srgbClr val="000000"/>
          </a:solidFill>
          <a:latin typeface="Arial Cyr"/>
          <a:ea typeface="Arial Cyr"/>
          <a:cs typeface="Arial Cyr"/>
        </a:defRPr>
      </a:pPr>
      <a:endParaRPr lang="ru-RU"/>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hPercent val="48"/>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0.28820930066100009"/>
          <c:y val="6.487396622592024E-4"/>
          <c:w val="0.53754718536040258"/>
          <c:h val="0.63414634146341464"/>
        </c:manualLayout>
      </c:layout>
      <c:bar3DChart>
        <c:barDir val="col"/>
        <c:grouping val="clustered"/>
        <c:ser>
          <c:idx val="0"/>
          <c:order val="0"/>
          <c:tx>
            <c:strRef>
              <c:f>Sheet1!$A$2</c:f>
              <c:strCache>
                <c:ptCount val="1"/>
                <c:pt idx="0">
                  <c:v>податок на майно</c:v>
                </c:pt>
              </c:strCache>
            </c:strRef>
          </c:tx>
          <c:spPr>
            <a:solidFill>
              <a:srgbClr val="9999FF"/>
            </a:solidFill>
            <a:ln w="12691">
              <a:solidFill>
                <a:srgbClr val="000000"/>
              </a:solidFill>
              <a:prstDash val="solid"/>
            </a:ln>
          </c:spPr>
          <c:dLbls>
            <c:dLbl>
              <c:idx val="0"/>
              <c:layout>
                <c:manualLayout>
                  <c:x val="-2.2208727850770655E-3"/>
                  <c:y val="0.12534161951872469"/>
                </c:manualLayout>
              </c:layout>
              <c:showVal val="1"/>
              <c:extLst>
                <c:ext xmlns:c15="http://schemas.microsoft.com/office/drawing/2012/chart" uri="{CE6537A1-D6FC-4f65-9D91-7224C49458BB}">
                  <c15:layout/>
                </c:ext>
              </c:extLst>
            </c:dLbl>
            <c:dLbl>
              <c:idx val="1"/>
              <c:layout>
                <c:manualLayout>
                  <c:x val="1.1332650458685395E-3"/>
                  <c:y val="0.15774692121747394"/>
                </c:manualLayout>
              </c:layout>
              <c:showVal val="1"/>
              <c:extLst>
                <c:ext xmlns:c15="http://schemas.microsoft.com/office/drawing/2012/chart" uri="{CE6537A1-D6FC-4f65-9D91-7224C49458BB}">
                  <c15:layout/>
                </c:ext>
              </c:extLst>
            </c:dLbl>
            <c:dLbl>
              <c:idx val="2"/>
              <c:layout>
                <c:manualLayout>
                  <c:x val="-4.7290281985478333E-3"/>
                  <c:y val="0.30462909584395226"/>
                </c:manualLayout>
              </c:layout>
              <c:showVal val="1"/>
              <c:extLst>
                <c:ext xmlns:c15="http://schemas.microsoft.com/office/drawing/2012/chart" uri="{CE6537A1-D6FC-4f65-9D91-7224C49458BB}">
                  <c15:layout/>
                </c:ext>
              </c:extLst>
            </c:dLbl>
            <c:dLbl>
              <c:idx val="3"/>
              <c:layout>
                <c:manualLayout>
                  <c:x val="3.2334045632734002E-3"/>
                  <c:y val="0.21056079380446749"/>
                </c:manualLayout>
              </c:layout>
              <c:tx>
                <c:rich>
                  <a:bodyPr/>
                  <a:lstStyle/>
                  <a:p>
                    <a:r>
                      <a:rPr lang="en-US"/>
                      <a:t>10140,7</a:t>
                    </a:r>
                  </a:p>
                </c:rich>
              </c:tx>
              <c:extLst>
                <c:ext xmlns:c15="http://schemas.microsoft.com/office/drawing/2012/chart" uri="{CE6537A1-D6FC-4f65-9D91-7224C49458BB}">
                  <c15:layout/>
                </c:ext>
              </c:extLst>
            </c:dLbl>
            <c:dLbl>
              <c:idx val="4"/>
              <c:layout>
                <c:manualLayout>
                  <c:x val="-5.7012440881159775E-3"/>
                  <c:y val="0.24508537945673184"/>
                </c:manualLayout>
              </c:layout>
              <c:showVal val="1"/>
              <c:extLst>
                <c:ext xmlns:c15="http://schemas.microsoft.com/office/drawing/2012/chart" uri="{CE6537A1-D6FC-4f65-9D91-7224C49458BB}">
                  <c15:layout/>
                </c:ext>
              </c:extLst>
            </c:dLbl>
            <c:dLbl>
              <c:idx val="5"/>
              <c:layout>
                <c:manualLayout>
                  <c:x val="-3.883204567462327E-3"/>
                  <c:y val="0.3166676447181434"/>
                </c:manualLayout>
              </c:layout>
              <c:showVal val="1"/>
              <c:extLst>
                <c:ext xmlns:c15="http://schemas.microsoft.com/office/drawing/2012/chart" uri="{CE6537A1-D6FC-4f65-9D91-7224C49458BB}">
                  <c15:layout/>
                </c:ext>
              </c:extLst>
            </c:dLbl>
            <c:spPr>
              <a:noFill/>
              <a:ln w="25383">
                <a:noFill/>
              </a:ln>
            </c:spPr>
            <c:txPr>
              <a:bodyPr rot="-5400000" vert="horz"/>
              <a:lstStyle/>
              <a:p>
                <a:pPr algn="ctr">
                  <a:defRPr sz="1199" b="1" i="0" u="none" strike="noStrike" baseline="0">
                    <a:solidFill>
                      <a:srgbClr val="000000"/>
                    </a:solidFill>
                    <a:latin typeface="Arial Cyr"/>
                    <a:ea typeface="Arial Cyr"/>
                    <a:cs typeface="Arial Cyr"/>
                  </a:defRPr>
                </a:pPr>
                <a:endParaRPr lang="ru-RU"/>
              </a:p>
            </c:txPr>
            <c:showVal val="1"/>
            <c:extLst>
              <c:ext xmlns:c15="http://schemas.microsoft.com/office/drawing/2012/chart" uri="{CE6537A1-D6FC-4f65-9D91-7224C49458BB}">
                <c15:showLeaderLines val="0"/>
              </c:ext>
            </c:extLst>
          </c:dLbls>
          <c:cat>
            <c:strRef>
              <c:f>Sheet1!$B$1:$G$1</c:f>
              <c:strCache>
                <c:ptCount val="6"/>
                <c:pt idx="0">
                  <c:v>2017</c:v>
                </c:pt>
                <c:pt idx="1">
                  <c:v>2018</c:v>
                </c:pt>
                <c:pt idx="2">
                  <c:v>2019</c:v>
                </c:pt>
                <c:pt idx="3">
                  <c:v>2020 факт</c:v>
                </c:pt>
                <c:pt idx="4">
                  <c:v>2021 очікувані</c:v>
                </c:pt>
                <c:pt idx="5">
                  <c:v>2022 проєкт</c:v>
                </c:pt>
              </c:strCache>
            </c:strRef>
          </c:cat>
          <c:val>
            <c:numRef>
              <c:f>Sheet1!$B$2:$G$2</c:f>
              <c:numCache>
                <c:formatCode>General</c:formatCode>
                <c:ptCount val="6"/>
                <c:pt idx="0">
                  <c:v>6372.6</c:v>
                </c:pt>
                <c:pt idx="1">
                  <c:v>6594.4</c:v>
                </c:pt>
                <c:pt idx="2">
                  <c:v>12488.5</c:v>
                </c:pt>
                <c:pt idx="3">
                  <c:v>11977.2</c:v>
                </c:pt>
                <c:pt idx="4">
                  <c:v>19380.900000000001</c:v>
                </c:pt>
                <c:pt idx="5" formatCode="0.0">
                  <c:v>20924.099999999988</c:v>
                </c:pt>
              </c:numCache>
            </c:numRef>
          </c:val>
        </c:ser>
        <c:dLbls>
          <c:showVal val="1"/>
        </c:dLbls>
        <c:gapDepth val="0"/>
        <c:shape val="box"/>
        <c:axId val="216443520"/>
        <c:axId val="223408512"/>
        <c:axId val="0"/>
      </c:bar3DChart>
      <c:catAx>
        <c:axId val="216443520"/>
        <c:scaling>
          <c:orientation val="minMax"/>
        </c:scaling>
        <c:axPos val="b"/>
        <c:numFmt formatCode="General" sourceLinked="1"/>
        <c:tickLblPos val="low"/>
        <c:spPr>
          <a:ln w="3173">
            <a:solidFill>
              <a:srgbClr val="000000"/>
            </a:solidFill>
            <a:prstDash val="solid"/>
          </a:ln>
        </c:spPr>
        <c:txPr>
          <a:bodyPr rot="0" vert="horz"/>
          <a:lstStyle/>
          <a:p>
            <a:pPr>
              <a:defRPr sz="999" b="1" i="0" u="none" strike="noStrike" baseline="0">
                <a:solidFill>
                  <a:srgbClr val="000000"/>
                </a:solidFill>
                <a:latin typeface="Arial Cyr"/>
                <a:ea typeface="Arial Cyr"/>
                <a:cs typeface="Arial Cyr"/>
              </a:defRPr>
            </a:pPr>
            <a:endParaRPr lang="ru-RU"/>
          </a:p>
        </c:txPr>
        <c:crossAx val="223408512"/>
        <c:crosses val="autoZero"/>
        <c:auto val="1"/>
        <c:lblAlgn val="ctr"/>
        <c:lblOffset val="100"/>
        <c:tickLblSkip val="1"/>
        <c:tickMarkSkip val="1"/>
      </c:catAx>
      <c:valAx>
        <c:axId val="223408512"/>
        <c:scaling>
          <c:orientation val="minMax"/>
        </c:scaling>
        <c:delete val="1"/>
        <c:axPos val="l"/>
        <c:majorGridlines>
          <c:spPr>
            <a:ln w="3173">
              <a:solidFill>
                <a:srgbClr val="000000"/>
              </a:solidFill>
              <a:prstDash val="solid"/>
            </a:ln>
          </c:spPr>
        </c:majorGridlines>
        <c:numFmt formatCode="General" sourceLinked="1"/>
        <c:tickLblPos val="nextTo"/>
        <c:crossAx val="216443520"/>
        <c:crosses val="autoZero"/>
        <c:crossBetween val="between"/>
      </c:valAx>
      <c:dTable>
        <c:showHorzBorder val="1"/>
        <c:showVertBorder val="1"/>
        <c:showOutline val="1"/>
        <c:showKeys val="1"/>
        <c:spPr>
          <a:ln w="3173">
            <a:solidFill>
              <a:srgbClr val="000000"/>
            </a:solidFill>
            <a:prstDash val="solid"/>
          </a:ln>
        </c:spPr>
        <c:txPr>
          <a:bodyPr/>
          <a:lstStyle/>
          <a:p>
            <a:pPr rtl="0">
              <a:defRPr sz="600" b="1" i="0" u="none" strike="noStrike" baseline="0">
                <a:solidFill>
                  <a:srgbClr val="000000"/>
                </a:solidFill>
                <a:latin typeface="Arial Cyr"/>
                <a:ea typeface="Arial Cyr"/>
                <a:cs typeface="Arial Cyr"/>
              </a:defRPr>
            </a:pPr>
            <a:endParaRPr lang="ru-RU"/>
          </a:p>
        </c:txPr>
      </c:dTable>
      <c:spPr>
        <a:noFill/>
        <a:ln w="25383">
          <a:noFill/>
        </a:ln>
      </c:spPr>
    </c:plotArea>
    <c:plotVisOnly val="1"/>
    <c:dispBlanksAs val="gap"/>
  </c:chart>
  <c:spPr>
    <a:noFill/>
    <a:ln>
      <a:noFill/>
    </a:ln>
  </c:spPr>
  <c:txPr>
    <a:bodyPr/>
    <a:lstStyle/>
    <a:p>
      <a:pPr>
        <a:defRPr sz="1199" b="1" i="0" u="none" strike="noStrike" baseline="0">
          <a:solidFill>
            <a:srgbClr val="000000"/>
          </a:solidFill>
          <a:latin typeface="Arial Cyr"/>
          <a:ea typeface="Arial Cyr"/>
          <a:cs typeface="Arial Cyr"/>
        </a:defRPr>
      </a:pPr>
      <a:endParaRPr lang="ru-RU"/>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manualLayout>
          <c:layoutTarget val="inner"/>
          <c:xMode val="edge"/>
          <c:yMode val="edge"/>
          <c:x val="0.11519725446172618"/>
          <c:y val="0.17704303606071012"/>
          <c:w val="0.72662715196058214"/>
          <c:h val="0.68680745749172778"/>
        </c:manualLayout>
      </c:layout>
      <c:pieChart>
        <c:varyColors val="1"/>
        <c:ser>
          <c:idx val="0"/>
          <c:order val="0"/>
          <c:tx>
            <c:strRef>
              <c:f>Лист1!$B$1</c:f>
              <c:strCache>
                <c:ptCount val="1"/>
                <c:pt idx="0">
                  <c:v>2021 рік план</c:v>
                </c:pt>
              </c:strCache>
            </c:strRef>
          </c:tx>
          <c:explosion val="25"/>
          <c:dLbls>
            <c:dLbl>
              <c:idx val="0"/>
              <c:layout>
                <c:manualLayout>
                  <c:x val="-1.8308616434344453E-2"/>
                  <c:y val="1.1319851177984262E-3"/>
                </c:manualLayout>
              </c:layout>
              <c:tx>
                <c:rich>
                  <a:bodyPr/>
                  <a:lstStyle/>
                  <a:p>
                    <a:r>
                      <a:rPr lang="ru-RU"/>
                      <a:t>2021 р. </a:t>
                    </a:r>
                    <a:r>
                      <a:rPr lang="ru-RU" sz="800"/>
                      <a:t>План Податок на нерухоме майно </a:t>
                    </a:r>
                    <a:r>
                      <a:rPr lang="ru-RU"/>
                      <a:t>(8,7%); 1679,4</a:t>
                    </a:r>
                  </a:p>
                </c:rich>
              </c:tx>
              <c:showVal val="1"/>
              <c:showCatName val="1"/>
              <c:extLst>
                <c:ext xmlns:c15="http://schemas.microsoft.com/office/drawing/2012/chart" uri="{CE6537A1-D6FC-4f65-9D91-7224C49458BB}">
                  <c15:layout/>
                </c:ext>
              </c:extLst>
            </c:dLbl>
            <c:dLbl>
              <c:idx val="1"/>
              <c:layout>
                <c:manualLayout>
                  <c:x val="-9.0103604125331846E-2"/>
                  <c:y val="-0.16214430832751961"/>
                </c:manualLayout>
              </c:layout>
              <c:tx>
                <c:rich>
                  <a:bodyPr/>
                  <a:lstStyle/>
                  <a:p>
                    <a:r>
                      <a:rPr lang="ru-RU"/>
                      <a:t>2021 р. План земельний податок (50,5%); 9783,1</a:t>
                    </a:r>
                  </a:p>
                </c:rich>
              </c:tx>
              <c:showVal val="1"/>
              <c:showCatName val="1"/>
            </c:dLbl>
            <c:dLbl>
              <c:idx val="2"/>
              <c:layout>
                <c:manualLayout>
                  <c:x val="0.12463381354647406"/>
                  <c:y val="3.9065422825124173E-2"/>
                </c:manualLayout>
              </c:layout>
              <c:tx>
                <c:rich>
                  <a:bodyPr/>
                  <a:lstStyle/>
                  <a:p>
                    <a:r>
                      <a:rPr lang="ru-RU"/>
                      <a:t>2021 р. </a:t>
                    </a:r>
                    <a:r>
                      <a:rPr lang="ru-RU" sz="800"/>
                      <a:t>План орендна плата за землю  </a:t>
                    </a:r>
                    <a:r>
                      <a:rPr lang="ru-RU"/>
                      <a:t>(40,8%); 7918,4</a:t>
                    </a:r>
                  </a:p>
                </c:rich>
              </c:tx>
              <c:showVal val="1"/>
              <c:showCatName val="1"/>
              <c:extLst>
                <c:ext xmlns:c15="http://schemas.microsoft.com/office/drawing/2012/chart" uri="{CE6537A1-D6FC-4f65-9D91-7224C49458BB}">
                  <c15:layout/>
                </c:ext>
              </c:extLst>
            </c:dLbl>
            <c:dLbl>
              <c:idx val="3"/>
              <c:delete val="1"/>
            </c:dLbl>
            <c:spPr>
              <a:noFill/>
              <a:ln>
                <a:noFill/>
              </a:ln>
              <a:effectLst/>
            </c:spPr>
            <c:showVal val="1"/>
            <c:showCatName val="1"/>
            <c:showLeaderLines val="1"/>
            <c:extLst>
              <c:ext xmlns:c15="http://schemas.microsoft.com/office/drawing/2012/chart" uri="{CE6537A1-D6FC-4f65-9D91-7224C49458BB}">
                <c15:layout/>
              </c:ext>
            </c:extLst>
          </c:dLbls>
          <c:cat>
            <c:strRef>
              <c:f>Лист1!$A$2:$A$5</c:f>
              <c:strCache>
                <c:ptCount val="3"/>
                <c:pt idx="0">
                  <c:v>2021 р. План Податок на нерухоме майно (8,7%)</c:v>
                </c:pt>
                <c:pt idx="1">
                  <c:v>2021 р. План земельний податок (50,5%)</c:v>
                </c:pt>
                <c:pt idx="2">
                  <c:v>2021 р. Планорендна плата (40,8%)</c:v>
                </c:pt>
              </c:strCache>
            </c:strRef>
          </c:cat>
          <c:val>
            <c:numRef>
              <c:f>Лист1!$B$2:$B$5</c:f>
              <c:numCache>
                <c:formatCode>General</c:formatCode>
                <c:ptCount val="4"/>
                <c:pt idx="0">
                  <c:v>1679.4</c:v>
                </c:pt>
                <c:pt idx="1">
                  <c:v>9783.1</c:v>
                </c:pt>
                <c:pt idx="2">
                  <c:v>7918.4</c:v>
                </c:pt>
              </c:numCache>
            </c:numRef>
          </c:val>
        </c:ser>
        <c:dLbls>
          <c:showVal val="1"/>
          <c:showCatName val="1"/>
        </c:dLbls>
        <c:firstSliceAng val="0"/>
      </c:pieChart>
    </c:plotArea>
    <c:plotVisOnly val="1"/>
    <c:dispBlanksAs val="zero"/>
  </c:chart>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pieChart>
        <c:varyColors val="1"/>
        <c:ser>
          <c:idx val="0"/>
          <c:order val="0"/>
          <c:tx>
            <c:strRef>
              <c:f>Лист1!$B$1</c:f>
              <c:strCache>
                <c:ptCount val="1"/>
                <c:pt idx="0">
                  <c:v>2021 рік план</c:v>
                </c:pt>
              </c:strCache>
            </c:strRef>
          </c:tx>
          <c:explosion val="25"/>
          <c:dLbls>
            <c:dLbl>
              <c:idx val="0"/>
              <c:tx>
                <c:rich>
                  <a:bodyPr/>
                  <a:lstStyle/>
                  <a:p>
                    <a:r>
                      <a:rPr lang="ru-RU" sz="800"/>
                      <a:t>2022 р. Податок на нерухоме майно (7,1%); 1495,5</a:t>
                    </a:r>
                  </a:p>
                </c:rich>
              </c:tx>
              <c:showVal val="1"/>
              <c:showCatName val="1"/>
            </c:dLbl>
            <c:dLbl>
              <c:idx val="2"/>
              <c:layout>
                <c:manualLayout>
                  <c:x val="0.1832275499570474"/>
                  <c:y val="-4.5912660762948143E-2"/>
                </c:manualLayout>
              </c:layout>
              <c:tx>
                <c:rich>
                  <a:bodyPr/>
                  <a:lstStyle/>
                  <a:p>
                    <a:r>
                      <a:rPr lang="ru-RU"/>
                      <a:t>2022 р. </a:t>
                    </a:r>
                    <a:r>
                      <a:rPr lang="ru-RU" sz="800"/>
                      <a:t>орендна плата за землю </a:t>
                    </a:r>
                    <a:r>
                      <a:rPr lang="ru-RU"/>
                      <a:t>(55,2%); 11543,3</a:t>
                    </a:r>
                  </a:p>
                </c:rich>
              </c:tx>
              <c:showVal val="1"/>
              <c:showCatName val="1"/>
              <c:extLst>
                <c:ext xmlns:c15="http://schemas.microsoft.com/office/drawing/2012/chart" uri="{CE6537A1-D6FC-4f65-9D91-7224C49458BB}">
                  <c15:layout/>
                </c:ext>
              </c:extLst>
            </c:dLbl>
            <c:dLbl>
              <c:idx val="3"/>
              <c:delete val="1"/>
            </c:dLbl>
            <c:spPr>
              <a:noFill/>
              <a:ln>
                <a:noFill/>
              </a:ln>
              <a:effectLst/>
            </c:spPr>
            <c:showVal val="1"/>
            <c:showCatName val="1"/>
            <c:showLeaderLines val="1"/>
            <c:extLst>
              <c:ext xmlns:c15="http://schemas.microsoft.com/office/drawing/2012/chart" uri="{CE6537A1-D6FC-4f65-9D91-7224C49458BB}">
                <c15:layout/>
              </c:ext>
            </c:extLst>
          </c:dLbls>
          <c:cat>
            <c:strRef>
              <c:f>Лист1!$A$2:$A$5</c:f>
              <c:strCache>
                <c:ptCount val="3"/>
                <c:pt idx="0">
                  <c:v>2022 р. Податок на нерухоме майно (7,1%)</c:v>
                </c:pt>
                <c:pt idx="1">
                  <c:v>2022 р.  земельний податок (37,7%)</c:v>
                </c:pt>
                <c:pt idx="2">
                  <c:v>2021 р. орендна плата (55,2%)</c:v>
                </c:pt>
              </c:strCache>
            </c:strRef>
          </c:cat>
          <c:val>
            <c:numRef>
              <c:f>Лист1!$B$2:$B$5</c:f>
              <c:numCache>
                <c:formatCode>General</c:formatCode>
                <c:ptCount val="4"/>
                <c:pt idx="0">
                  <c:v>1495.5</c:v>
                </c:pt>
                <c:pt idx="1">
                  <c:v>7885.3</c:v>
                </c:pt>
                <c:pt idx="2">
                  <c:v>11543.3</c:v>
                </c:pt>
              </c:numCache>
            </c:numRef>
          </c:val>
        </c:ser>
        <c:dLbls>
          <c:showVal val="1"/>
          <c:showCatName val="1"/>
        </c:dLbls>
        <c:firstSliceAng val="0"/>
      </c:pieChart>
    </c:plotArea>
    <c:plotVisOnly val="1"/>
    <c:dispBlanksAs val="zero"/>
  </c:chart>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hPercent val="41"/>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0.23926651805140606"/>
          <c:y val="3.2448888616585944E-2"/>
          <c:w val="0.62441314553990557"/>
          <c:h val="0.71682022441050575"/>
        </c:manualLayout>
      </c:layout>
      <c:bar3DChart>
        <c:barDir val="col"/>
        <c:grouping val="clustered"/>
        <c:ser>
          <c:idx val="0"/>
          <c:order val="0"/>
          <c:tx>
            <c:strRef>
              <c:f>Sheet1!$A$2</c:f>
              <c:strCache>
                <c:ptCount val="1"/>
                <c:pt idx="0">
                  <c:v>Єдиний податок</c:v>
                </c:pt>
              </c:strCache>
            </c:strRef>
          </c:tx>
          <c:spPr>
            <a:solidFill>
              <a:srgbClr val="9999FF"/>
            </a:solidFill>
            <a:ln w="9505">
              <a:solidFill>
                <a:srgbClr val="000000"/>
              </a:solidFill>
              <a:prstDash val="solid"/>
            </a:ln>
          </c:spPr>
          <c:dLbls>
            <c:spPr>
              <a:noFill/>
              <a:ln w="19011">
                <a:noFill/>
              </a:ln>
            </c:spPr>
            <c:txPr>
              <a:bodyPr/>
              <a:lstStyle/>
              <a:p>
                <a:pPr>
                  <a:defRPr sz="786" b="1" i="0" u="none" strike="noStrike" baseline="0">
                    <a:solidFill>
                      <a:srgbClr val="000000"/>
                    </a:solidFill>
                    <a:latin typeface="Arial Cyr"/>
                    <a:ea typeface="Arial Cyr"/>
                    <a:cs typeface="Arial Cyr"/>
                  </a:defRPr>
                </a:pPr>
                <a:endParaRPr lang="ru-RU"/>
              </a:p>
            </c:txPr>
            <c:showVal val="1"/>
            <c:extLst>
              <c:ext xmlns:c15="http://schemas.microsoft.com/office/drawing/2012/chart" uri="{CE6537A1-D6FC-4f65-9D91-7224C49458BB}">
                <c15:layout/>
                <c15:showLeaderLines val="0"/>
              </c:ext>
            </c:extLst>
          </c:dLbls>
          <c:cat>
            <c:strRef>
              <c:f>Sheet1!$B$1:$G$1</c:f>
              <c:strCache>
                <c:ptCount val="6"/>
                <c:pt idx="0">
                  <c:v>2017</c:v>
                </c:pt>
                <c:pt idx="1">
                  <c:v>2018</c:v>
                </c:pt>
                <c:pt idx="2">
                  <c:v>2019</c:v>
                </c:pt>
                <c:pt idx="3">
                  <c:v>2020 факт</c:v>
                </c:pt>
                <c:pt idx="4">
                  <c:v>2021 очіку- вані</c:v>
                </c:pt>
                <c:pt idx="5">
                  <c:v>2022 проєкт</c:v>
                </c:pt>
              </c:strCache>
            </c:strRef>
          </c:cat>
          <c:val>
            <c:numRef>
              <c:f>Sheet1!$B$2:$G$2</c:f>
              <c:numCache>
                <c:formatCode>General</c:formatCode>
                <c:ptCount val="6"/>
                <c:pt idx="0">
                  <c:v>9275.1</c:v>
                </c:pt>
                <c:pt idx="1">
                  <c:v>13012.6</c:v>
                </c:pt>
                <c:pt idx="2">
                  <c:v>14555.3</c:v>
                </c:pt>
                <c:pt idx="3">
                  <c:v>15545.2</c:v>
                </c:pt>
                <c:pt idx="4">
                  <c:v>18802.8</c:v>
                </c:pt>
                <c:pt idx="5" formatCode="0.0">
                  <c:v>19449.599999999969</c:v>
                </c:pt>
              </c:numCache>
            </c:numRef>
          </c:val>
        </c:ser>
        <c:dLbls>
          <c:showVal val="1"/>
        </c:dLbls>
        <c:gapDepth val="0"/>
        <c:shape val="box"/>
        <c:axId val="225686272"/>
        <c:axId val="225687808"/>
        <c:axId val="0"/>
      </c:bar3DChart>
      <c:catAx>
        <c:axId val="225686272"/>
        <c:scaling>
          <c:orientation val="minMax"/>
        </c:scaling>
        <c:axPos val="b"/>
        <c:numFmt formatCode="General" sourceLinked="1"/>
        <c:tickLblPos val="low"/>
        <c:spPr>
          <a:ln w="2376">
            <a:solidFill>
              <a:srgbClr val="000000"/>
            </a:solidFill>
            <a:prstDash val="solid"/>
          </a:ln>
        </c:spPr>
        <c:txPr>
          <a:bodyPr rot="0" vert="horz"/>
          <a:lstStyle/>
          <a:p>
            <a:pPr>
              <a:defRPr sz="617" b="1" i="0" u="none" strike="noStrike" baseline="0">
                <a:solidFill>
                  <a:srgbClr val="000000"/>
                </a:solidFill>
                <a:latin typeface="Arial Cyr"/>
                <a:ea typeface="Arial Cyr"/>
                <a:cs typeface="Arial Cyr"/>
              </a:defRPr>
            </a:pPr>
            <a:endParaRPr lang="ru-RU"/>
          </a:p>
        </c:txPr>
        <c:crossAx val="225687808"/>
        <c:crosses val="autoZero"/>
        <c:auto val="1"/>
        <c:lblAlgn val="ctr"/>
        <c:lblOffset val="100"/>
        <c:tickLblSkip val="1"/>
        <c:tickMarkSkip val="1"/>
      </c:catAx>
      <c:valAx>
        <c:axId val="225687808"/>
        <c:scaling>
          <c:orientation val="minMax"/>
        </c:scaling>
        <c:delete val="1"/>
        <c:axPos val="l"/>
        <c:majorGridlines>
          <c:spPr>
            <a:ln w="2376">
              <a:solidFill>
                <a:srgbClr val="000000"/>
              </a:solidFill>
              <a:prstDash val="solid"/>
            </a:ln>
          </c:spPr>
        </c:majorGridlines>
        <c:numFmt formatCode="General" sourceLinked="1"/>
        <c:tickLblPos val="nextTo"/>
        <c:crossAx val="225686272"/>
        <c:crosses val="autoZero"/>
        <c:crossBetween val="between"/>
      </c:valAx>
      <c:dTable>
        <c:showHorzBorder val="1"/>
        <c:showVertBorder val="1"/>
        <c:showOutline val="1"/>
        <c:showKeys val="1"/>
        <c:spPr>
          <a:ln w="2376">
            <a:solidFill>
              <a:srgbClr val="000000"/>
            </a:solidFill>
            <a:prstDash val="solid"/>
          </a:ln>
        </c:spPr>
        <c:txPr>
          <a:bodyPr/>
          <a:lstStyle/>
          <a:p>
            <a:pPr rtl="0">
              <a:defRPr sz="786" b="1" i="0" u="none" strike="noStrike" baseline="0">
                <a:solidFill>
                  <a:srgbClr val="000000"/>
                </a:solidFill>
                <a:latin typeface="Arial Cyr"/>
                <a:ea typeface="Arial Cyr"/>
                <a:cs typeface="Arial Cyr"/>
              </a:defRPr>
            </a:pPr>
            <a:endParaRPr lang="ru-RU"/>
          </a:p>
        </c:txPr>
      </c:dTable>
      <c:spPr>
        <a:noFill/>
        <a:ln w="19011">
          <a:noFill/>
        </a:ln>
      </c:spPr>
    </c:plotArea>
    <c:plotVisOnly val="1"/>
    <c:dispBlanksAs val="gap"/>
  </c:chart>
  <c:spPr>
    <a:noFill/>
    <a:ln>
      <a:noFill/>
    </a:ln>
  </c:spPr>
  <c:txPr>
    <a:bodyPr/>
    <a:lstStyle/>
    <a:p>
      <a:pPr>
        <a:defRPr sz="786" b="1" i="0" u="none" strike="noStrike" baseline="0">
          <a:solidFill>
            <a:srgbClr val="000000"/>
          </a:solidFill>
          <a:latin typeface="Arial Cyr"/>
          <a:ea typeface="Arial Cyr"/>
          <a:cs typeface="Arial Cyr"/>
        </a:defRPr>
      </a:pPr>
      <a:endParaRPr lang="ru-RU"/>
    </a:p>
  </c:txPr>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ru-RU"/>
  <c:clrMapOvr bg1="lt1" tx1="dk1" bg2="lt2" tx2="dk2" accent1="accent1" accent2="accent2" accent3="accent3" accent4="accent4" accent5="accent5" accent6="accent6" hlink="hlink" folHlink="folHlink"/>
  <c:chart>
    <c:view3D>
      <c:rAngAx val="1"/>
    </c:view3D>
    <c:plotArea>
      <c:layout>
        <c:manualLayout>
          <c:layoutTarget val="inner"/>
          <c:xMode val="edge"/>
          <c:yMode val="edge"/>
          <c:x val="0.16549707148675391"/>
          <c:y val="8.2829896666794064E-2"/>
          <c:w val="0.80091540281602769"/>
          <c:h val="0.52416968476712889"/>
        </c:manualLayout>
      </c:layout>
      <c:bar3DChart>
        <c:barDir val="col"/>
        <c:grouping val="clustered"/>
        <c:ser>
          <c:idx val="0"/>
          <c:order val="0"/>
          <c:tx>
            <c:strRef>
              <c:f>Лист1!$B$1</c:f>
              <c:strCache>
                <c:ptCount val="1"/>
                <c:pt idx="0">
                  <c:v>2021 - Затверджені видатки з урахуванням змін</c:v>
                </c:pt>
              </c:strCache>
            </c:strRef>
          </c:tx>
          <c:cat>
            <c:strRef>
              <c:f>Лист1!$A$2:$A$5</c:f>
              <c:strCache>
                <c:ptCount val="4"/>
                <c:pt idx="0">
                  <c:v>Галузь "Державне управління"</c:v>
                </c:pt>
                <c:pt idx="1">
                  <c:v>Галузь "Соціальний захист"</c:v>
                </c:pt>
                <c:pt idx="2">
                  <c:v>Галузь "Освіта"</c:v>
                </c:pt>
                <c:pt idx="3">
                  <c:v>Галузь "Культура"</c:v>
                </c:pt>
              </c:strCache>
            </c:strRef>
          </c:cat>
          <c:val>
            <c:numRef>
              <c:f>Лист1!$B$2:$B$5</c:f>
              <c:numCache>
                <c:formatCode>#,##0.00</c:formatCode>
                <c:ptCount val="4"/>
                <c:pt idx="0">
                  <c:v>29942.1</c:v>
                </c:pt>
                <c:pt idx="1">
                  <c:v>20074.099999999991</c:v>
                </c:pt>
                <c:pt idx="2">
                  <c:v>260680.8</c:v>
                </c:pt>
                <c:pt idx="3">
                  <c:v>12116.5</c:v>
                </c:pt>
              </c:numCache>
            </c:numRef>
          </c:val>
        </c:ser>
        <c:ser>
          <c:idx val="1"/>
          <c:order val="1"/>
          <c:tx>
            <c:strRef>
              <c:f>Лист1!$C$1</c:f>
              <c:strCache>
                <c:ptCount val="1"/>
                <c:pt idx="0">
                  <c:v>2022 - Проєкт при плануванні</c:v>
                </c:pt>
              </c:strCache>
            </c:strRef>
          </c:tx>
          <c:cat>
            <c:strRef>
              <c:f>Лист1!$A$2:$A$5</c:f>
              <c:strCache>
                <c:ptCount val="4"/>
                <c:pt idx="0">
                  <c:v>Галузь "Державне управління"</c:v>
                </c:pt>
                <c:pt idx="1">
                  <c:v>Галузь "Соціальний захист"</c:v>
                </c:pt>
                <c:pt idx="2">
                  <c:v>Галузь "Освіта"</c:v>
                </c:pt>
                <c:pt idx="3">
                  <c:v>Галузь "Культура"</c:v>
                </c:pt>
              </c:strCache>
            </c:strRef>
          </c:cat>
          <c:val>
            <c:numRef>
              <c:f>Лист1!$C$2:$C$5</c:f>
              <c:numCache>
                <c:formatCode>#,##0.00</c:formatCode>
                <c:ptCount val="4"/>
                <c:pt idx="0">
                  <c:v>30733.3</c:v>
                </c:pt>
                <c:pt idx="1">
                  <c:v>15901.7</c:v>
                </c:pt>
                <c:pt idx="2">
                  <c:v>268140.3</c:v>
                </c:pt>
                <c:pt idx="3">
                  <c:v>13098.4</c:v>
                </c:pt>
              </c:numCache>
            </c:numRef>
          </c:val>
        </c:ser>
        <c:shape val="box"/>
        <c:axId val="225697152"/>
        <c:axId val="204862592"/>
        <c:axId val="0"/>
      </c:bar3DChart>
      <c:catAx>
        <c:axId val="225697152"/>
        <c:scaling>
          <c:orientation val="minMax"/>
        </c:scaling>
        <c:axPos val="b"/>
        <c:numFmt formatCode="General" sourceLinked="1"/>
        <c:tickLblPos val="nextTo"/>
        <c:crossAx val="204862592"/>
        <c:crosses val="autoZero"/>
        <c:auto val="1"/>
        <c:lblAlgn val="ctr"/>
        <c:lblOffset val="100"/>
      </c:catAx>
      <c:valAx>
        <c:axId val="204862592"/>
        <c:scaling>
          <c:orientation val="minMax"/>
        </c:scaling>
        <c:axPos val="l"/>
        <c:majorGridlines/>
        <c:numFmt formatCode="#,##0.00" sourceLinked="1"/>
        <c:tickLblPos val="nextTo"/>
        <c:crossAx val="225697152"/>
        <c:crosses val="autoZero"/>
        <c:crossBetween val="between"/>
      </c:valAx>
    </c:plotArea>
    <c:legend>
      <c:legendPos val="b"/>
      <c:layout>
        <c:manualLayout>
          <c:xMode val="edge"/>
          <c:yMode val="edge"/>
          <c:x val="5.3989186980369856E-2"/>
          <c:y val="0.86280911978086761"/>
          <c:w val="0.8920214688732776"/>
          <c:h val="7.391396414431281E-2"/>
        </c:manualLayout>
      </c:layout>
    </c:legend>
    <c:plotVisOnly val="1"/>
    <c:dispBlanksAs val="gap"/>
  </c:chart>
  <c:externalData r:id="rId2"/>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ru-RU"/>
  <c:style val="23"/>
  <c:clrMapOvr bg1="lt1" tx1="dk1" bg2="lt2" tx2="dk2" accent1="accent1" accent2="accent2" accent3="accent3" accent4="accent4" accent5="accent5" accent6="accent6" hlink="hlink" folHlink="folHlink"/>
  <c:chart>
    <c:title/>
    <c:view3D>
      <c:rotX val="30"/>
      <c:perspective val="30"/>
    </c:view3D>
    <c:plotArea>
      <c:layout/>
      <c:pie3DChart>
        <c:varyColors val="1"/>
        <c:ser>
          <c:idx val="0"/>
          <c:order val="0"/>
          <c:tx>
            <c:strRef>
              <c:f>Лист1!$B$1</c:f>
              <c:strCache>
                <c:ptCount val="1"/>
                <c:pt idx="0">
                  <c:v>Бюджет 2022 по галузям</c:v>
                </c:pt>
              </c:strCache>
            </c:strRef>
          </c:tx>
          <c:explosion val="25"/>
          <c:dPt>
            <c:idx val="1"/>
            <c:spPr>
              <a:solidFill>
                <a:schemeClr val="accent2"/>
              </a:solidFill>
            </c:spPr>
          </c:dPt>
          <c:dPt>
            <c:idx val="2"/>
            <c:spPr>
              <a:solidFill>
                <a:schemeClr val="accent4">
                  <a:lumMod val="60000"/>
                  <a:lumOff val="40000"/>
                </a:schemeClr>
              </a:solidFill>
            </c:spPr>
          </c:dPt>
          <c:dPt>
            <c:idx val="3"/>
            <c:spPr>
              <a:solidFill>
                <a:schemeClr val="accent6">
                  <a:lumMod val="75000"/>
                </a:schemeClr>
              </a:solidFill>
            </c:spPr>
          </c:dPt>
          <c:dPt>
            <c:idx val="4"/>
            <c:spPr>
              <a:solidFill>
                <a:schemeClr val="accent2">
                  <a:lumMod val="40000"/>
                  <a:lumOff val="60000"/>
                </a:schemeClr>
              </a:solidFill>
            </c:spPr>
          </c:dPt>
          <c:dLbls>
            <c:spPr>
              <a:noFill/>
              <a:ln>
                <a:noFill/>
              </a:ln>
              <a:effectLst/>
            </c:spPr>
            <c:showPercent val="1"/>
            <c:showLeaderLines val="1"/>
            <c:extLst>
              <c:ext xmlns:c15="http://schemas.microsoft.com/office/drawing/2012/chart" uri="{CE6537A1-D6FC-4f65-9D91-7224C49458BB}">
                <c15:layout/>
              </c:ext>
            </c:extLst>
          </c:dLbls>
          <c:cat>
            <c:strRef>
              <c:f>Лист1!$A$2:$A$7</c:f>
              <c:strCache>
                <c:ptCount val="6"/>
                <c:pt idx="0">
                  <c:v>Освіта</c:v>
                </c:pt>
                <c:pt idx="1">
                  <c:v>Охорона здоров"я</c:v>
                </c:pt>
                <c:pt idx="2">
                  <c:v>Соціальний захист</c:v>
                </c:pt>
                <c:pt idx="3">
                  <c:v>Культура</c:v>
                </c:pt>
                <c:pt idx="4">
                  <c:v>Державне управління</c:v>
                </c:pt>
                <c:pt idx="5">
                  <c:v>Інші</c:v>
                </c:pt>
              </c:strCache>
            </c:strRef>
          </c:cat>
          <c:val>
            <c:numRef>
              <c:f>Лист1!$B$2:$B$7</c:f>
              <c:numCache>
                <c:formatCode>General</c:formatCode>
                <c:ptCount val="6"/>
                <c:pt idx="0">
                  <c:v>268140260</c:v>
                </c:pt>
                <c:pt idx="1">
                  <c:v>6915000</c:v>
                </c:pt>
                <c:pt idx="2">
                  <c:v>15901731</c:v>
                </c:pt>
                <c:pt idx="3">
                  <c:v>13098400</c:v>
                </c:pt>
                <c:pt idx="4">
                  <c:v>30733343</c:v>
                </c:pt>
                <c:pt idx="5">
                  <c:v>16117313</c:v>
                </c:pt>
              </c:numCache>
            </c:numRef>
          </c:val>
        </c:ser>
        <c:dLbls>
          <c:showPercent val="1"/>
        </c:dLbls>
      </c:pie3DChart>
    </c:plotArea>
    <c:legend>
      <c:legendPos val="r"/>
      <c:legendEntry>
        <c:idx val="0"/>
        <c:txPr>
          <a:bodyPr/>
          <a:lstStyle/>
          <a:p>
            <a:pPr>
              <a:defRPr>
                <a:solidFill>
                  <a:sysClr val="windowText" lastClr="000000"/>
                </a:solidFill>
              </a:defRPr>
            </a:pPr>
            <a:endParaRPr lang="ru-RU"/>
          </a:p>
        </c:txPr>
      </c:legendEntry>
    </c:legend>
    <c:plotVisOnly val="1"/>
    <c:dispBlanksAs val="zero"/>
  </c:chart>
  <c:externalData r:id="rId2"/>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710D02-B6F8-4291-8FA1-1223C2FDA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2328</TotalTime>
  <Pages>15</Pages>
  <Words>3602</Words>
  <Characters>20536</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ІНФОРМАЦІЯ ПРО СОЦІАЛЬНО-ЕКОНОМІЧНЕ</vt:lpstr>
    </vt:vector>
  </TitlesOfParts>
  <Company>Minfin</Company>
  <LinksUpToDate>false</LinksUpToDate>
  <CharactersWithSpaces>24090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ІНФОРМАЦІЯ ПРО СОЦІАЛЬНО-ЕКОНОМІЧНЕ</dc:title>
  <dc:subject/>
  <dc:creator>Користувач Windows</dc:creator>
  <cp:keywords/>
  <dc:description/>
  <cp:lastModifiedBy>finvid</cp:lastModifiedBy>
  <cp:revision>421</cp:revision>
  <cp:lastPrinted>2019-11-28T14:38:00Z</cp:lastPrinted>
  <dcterms:created xsi:type="dcterms:W3CDTF">2019-09-26T12:47:00Z</dcterms:created>
  <dcterms:modified xsi:type="dcterms:W3CDTF">2021-12-03T10:05:00Z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9fc2474f-986b-4e7e-89f6-5a8d806c15b2</vt:lpwstr>
  </property>
  <property fmtid="{D5CDD505-2E9C-101B-9397-08002B2CF9AE}" pid="3" name="ContentTypeId">
    <vt:lpwstr>0x01010051DC89FFDAC4684DB262DCE45F8F3961</vt:lpwstr>
  </property>
  <property fmtid="{D5CDD505-2E9C-101B-9397-08002B2CF9AE}" pid="4" name="_dlc_DocId">
    <vt:lpwstr>MFWF-331-52761</vt:lpwstr>
  </property>
  <property fmtid="{D5CDD505-2E9C-101B-9397-08002B2CF9AE}" pid="5" name="_dlc_DocIdUrl">
    <vt:lpwstr>http://workflow/04000/04110/_layouts/DocIdRedir.aspx?ID=MFWF-331-52761, MFWF-331-52761</vt:lpwstr>
  </property>
</Properties>
</file>